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9" w:rsidRDefault="006B0349">
      <w:pPr>
        <w:pStyle w:val="ConsPlusNormal"/>
        <w:outlineLvl w:val="0"/>
      </w:pPr>
    </w:p>
    <w:p w:rsidR="006B0349" w:rsidRDefault="006B0349">
      <w:pPr>
        <w:pStyle w:val="ConsPlusTitle"/>
        <w:jc w:val="center"/>
        <w:outlineLvl w:val="0"/>
      </w:pPr>
      <w:r>
        <w:t>КОМИТЕТ ЛЕНИНГРАДСКОЙ ОБЛАСТИ ПО ОБРАЩЕНИЮ С ОТХОДАМИ</w:t>
      </w:r>
    </w:p>
    <w:p w:rsidR="006B0349" w:rsidRDefault="006B0349">
      <w:pPr>
        <w:pStyle w:val="ConsPlusTitle"/>
        <w:jc w:val="center"/>
      </w:pPr>
    </w:p>
    <w:p w:rsidR="006B0349" w:rsidRDefault="006B0349">
      <w:pPr>
        <w:pStyle w:val="ConsPlusTitle"/>
        <w:jc w:val="center"/>
      </w:pPr>
      <w:r>
        <w:t>ПРИКАЗ</w:t>
      </w:r>
    </w:p>
    <w:p w:rsidR="006B0349" w:rsidRDefault="006B0349">
      <w:pPr>
        <w:pStyle w:val="ConsPlusTitle"/>
        <w:jc w:val="center"/>
      </w:pPr>
      <w:r>
        <w:t>от 30 сентября 2021 г. N 13</w:t>
      </w:r>
    </w:p>
    <w:p w:rsidR="006B0349" w:rsidRDefault="006B0349">
      <w:pPr>
        <w:pStyle w:val="ConsPlusTitle"/>
        <w:jc w:val="center"/>
      </w:pPr>
    </w:p>
    <w:p w:rsidR="006B0349" w:rsidRDefault="006B0349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6B0349" w:rsidRDefault="006B0349">
      <w:pPr>
        <w:pStyle w:val="ConsPlusTitle"/>
        <w:jc w:val="center"/>
      </w:pPr>
      <w:r>
        <w:t>ЭКСПЕРТИЗЫ ПРОЕКТОВ ПРИКАЗОВ КОМИТЕТА ЛЕНИНГРАДСКОЙ ОБЛАСТИ</w:t>
      </w:r>
    </w:p>
    <w:p w:rsidR="006B0349" w:rsidRDefault="006B0349">
      <w:pPr>
        <w:pStyle w:val="ConsPlusTitle"/>
        <w:jc w:val="center"/>
      </w:pPr>
      <w:r>
        <w:t xml:space="preserve">ПО ОБРАЩЕНИЮ С ОТХОДАМИ И ПРИКАЗОВ КОМИТЕТА </w:t>
      </w:r>
      <w:proofErr w:type="gramStart"/>
      <w:r>
        <w:t>ЛЕНИНГРАДСКОЙ</w:t>
      </w:r>
      <w:proofErr w:type="gramEnd"/>
    </w:p>
    <w:p w:rsidR="006B0349" w:rsidRDefault="006B0349">
      <w:pPr>
        <w:pStyle w:val="ConsPlusTitle"/>
        <w:jc w:val="center"/>
      </w:pPr>
      <w:r>
        <w:t>ОБЛАСТИ ПО ОБРАЩЕНИЮ С ОТХОДАМИ</w:t>
      </w:r>
    </w:p>
    <w:p w:rsidR="006B0349" w:rsidRDefault="006B0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49" w:rsidRDefault="006B0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49" w:rsidRDefault="006B0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349" w:rsidRDefault="006B0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349" w:rsidRDefault="006B0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Ленинградской области по обращению с отходами</w:t>
            </w:r>
            <w:proofErr w:type="gramEnd"/>
          </w:p>
          <w:p w:rsidR="006B0349" w:rsidRDefault="006B0349">
            <w:pPr>
              <w:pStyle w:val="ConsPlusNormal"/>
              <w:jc w:val="center"/>
            </w:pPr>
            <w:r>
              <w:rPr>
                <w:color w:val="392C69"/>
              </w:rPr>
              <w:t>от 31.05.2022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49" w:rsidRDefault="006B0349">
            <w:pPr>
              <w:pStyle w:val="ConsPlusNormal"/>
            </w:pPr>
          </w:p>
        </w:tc>
      </w:tr>
    </w:tbl>
    <w:p w:rsidR="006B0349" w:rsidRDefault="006B0349">
      <w:pPr>
        <w:pStyle w:val="ConsPlusNormal"/>
        <w:jc w:val="center"/>
      </w:pPr>
    </w:p>
    <w:p w:rsidR="006B0349" w:rsidRDefault="006B03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антикоррупционной экспертизы проектов приказов Комитета Ленинградской области</w:t>
      </w:r>
      <w:proofErr w:type="gramEnd"/>
      <w:r>
        <w:t xml:space="preserve"> по обращению с отходами и приказов Комитета Ленинградской области по обращению с отходами согласно приложению к настоящему приказу.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2. Установить, что антикоррупционная экспертиза проектов приказов Комитета Ленинградской области по обращению с отходами и приказов Комитета Ленинградской области по обращению с отходами проводится Сектором правового обеспечения Комитета.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3. Руководителям структурных подразделений Комитета Ленинградской области по обращению с отходами обеспечить представление разработанных проектов приказов Комитета Ленинградской области по обращению с отходами в Сектор правового обеспечения Комитета для проведения их антикоррупционной экспертизы.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- </w:t>
      </w:r>
      <w:hyperlink r:id="rId8">
        <w:r>
          <w:rPr>
            <w:color w:val="0000FF"/>
          </w:rPr>
          <w:t>приказ</w:t>
        </w:r>
      </w:hyperlink>
      <w:r>
        <w:t xml:space="preserve"> управления Ленинградской области по организации и контролю деятельности по обращению с отходами от 12.08.2016 N 1 "Об утверждении Порядка проведения антикоррупционной экспертизы нормативных правовых актов и проектов нормативных правовых актов управления Ленинградской области по организации и контролю деятельности по обращению с отходами";</w:t>
      </w:r>
    </w:p>
    <w:p w:rsidR="006B0349" w:rsidRDefault="006B0349">
      <w:pPr>
        <w:pStyle w:val="ConsPlusNormal"/>
        <w:spacing w:before="200"/>
        <w:ind w:firstLine="540"/>
        <w:jc w:val="both"/>
      </w:pPr>
      <w:proofErr w:type="gramStart"/>
      <w:r>
        <w:t xml:space="preserve">- </w:t>
      </w:r>
      <w:hyperlink r:id="rId9">
        <w:r>
          <w:rPr>
            <w:color w:val="0000FF"/>
          </w:rPr>
          <w:t>приказ</w:t>
        </w:r>
      </w:hyperlink>
      <w:r>
        <w:t xml:space="preserve"> управления Ленинградской области по организации и контролю деятельности по обращению с отходами от 15.07.2019 N 4 "О внесении изменений в приказ управления Ленинградской области по организации и контролю деятельности по обращению с отходами от 12.08.2016 N 1 "Об утверждении Порядка проведения антикоррупционной экспертизы нормативных правовых актов и проектов нормативных правовых актов управления Ленинградской области по организации и контролю деятельности</w:t>
      </w:r>
      <w:proofErr w:type="gramEnd"/>
      <w:r>
        <w:t xml:space="preserve"> по обращению с отходами".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jc w:val="right"/>
      </w:pPr>
      <w:r>
        <w:t>Председатель Комитета</w:t>
      </w:r>
    </w:p>
    <w:p w:rsidR="006B0349" w:rsidRDefault="006B0349">
      <w:pPr>
        <w:pStyle w:val="ConsPlusNormal"/>
        <w:jc w:val="right"/>
      </w:pPr>
      <w:r>
        <w:t>Ленинградской области</w:t>
      </w:r>
    </w:p>
    <w:p w:rsidR="006B0349" w:rsidRDefault="006B0349">
      <w:pPr>
        <w:pStyle w:val="ConsPlusNormal"/>
        <w:jc w:val="right"/>
      </w:pPr>
      <w:r>
        <w:t>по обращению с отходами</w:t>
      </w:r>
    </w:p>
    <w:p w:rsidR="006B0349" w:rsidRDefault="006B0349">
      <w:pPr>
        <w:pStyle w:val="ConsPlusNormal"/>
        <w:jc w:val="right"/>
      </w:pPr>
      <w:proofErr w:type="spellStart"/>
      <w:r>
        <w:t>А.Н.Кузнецова</w:t>
      </w:r>
      <w:proofErr w:type="spellEnd"/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jc w:val="right"/>
      </w:pPr>
    </w:p>
    <w:p w:rsidR="006B0349" w:rsidRDefault="006B0349">
      <w:pPr>
        <w:pStyle w:val="ConsPlusNormal"/>
        <w:jc w:val="right"/>
      </w:pPr>
      <w:bookmarkStart w:id="0" w:name="_GoBack"/>
      <w:bookmarkEnd w:id="0"/>
    </w:p>
    <w:p w:rsidR="006B0349" w:rsidRDefault="006B0349">
      <w:pPr>
        <w:pStyle w:val="ConsPlusNormal"/>
        <w:jc w:val="right"/>
      </w:pPr>
    </w:p>
    <w:p w:rsidR="006B0349" w:rsidRDefault="006B0349">
      <w:pPr>
        <w:pStyle w:val="ConsPlusNormal"/>
        <w:jc w:val="right"/>
      </w:pPr>
    </w:p>
    <w:p w:rsidR="006B0349" w:rsidRDefault="006B0349">
      <w:pPr>
        <w:pStyle w:val="ConsPlusNormal"/>
        <w:jc w:val="right"/>
        <w:outlineLvl w:val="0"/>
      </w:pPr>
      <w:r>
        <w:lastRenderedPageBreak/>
        <w:t>ПРИЛОЖЕНИЕ</w:t>
      </w:r>
    </w:p>
    <w:p w:rsidR="006B0349" w:rsidRDefault="006B0349">
      <w:pPr>
        <w:pStyle w:val="ConsPlusNormal"/>
        <w:jc w:val="right"/>
      </w:pPr>
      <w:r>
        <w:t>к приказу Комитета</w:t>
      </w:r>
    </w:p>
    <w:p w:rsidR="006B0349" w:rsidRDefault="006B0349">
      <w:pPr>
        <w:pStyle w:val="ConsPlusNormal"/>
        <w:jc w:val="right"/>
      </w:pPr>
      <w:r>
        <w:t>Ленинградской области</w:t>
      </w:r>
    </w:p>
    <w:p w:rsidR="006B0349" w:rsidRDefault="006B0349">
      <w:pPr>
        <w:pStyle w:val="ConsPlusNormal"/>
        <w:jc w:val="right"/>
      </w:pPr>
      <w:r>
        <w:t>по обращению с отходами</w:t>
      </w:r>
    </w:p>
    <w:p w:rsidR="006B0349" w:rsidRDefault="006B0349">
      <w:pPr>
        <w:pStyle w:val="ConsPlusNormal"/>
        <w:jc w:val="right"/>
      </w:pPr>
      <w:r>
        <w:t>от 30.09.2021 N 13</w:t>
      </w:r>
    </w:p>
    <w:p w:rsidR="006B0349" w:rsidRDefault="006B0349">
      <w:pPr>
        <w:pStyle w:val="ConsPlusNormal"/>
        <w:jc w:val="center"/>
      </w:pPr>
    </w:p>
    <w:p w:rsidR="006B0349" w:rsidRDefault="006B0349">
      <w:pPr>
        <w:pStyle w:val="ConsPlusTitle"/>
        <w:jc w:val="center"/>
      </w:pPr>
      <w:bookmarkStart w:id="1" w:name="P39"/>
      <w:bookmarkEnd w:id="1"/>
      <w:r>
        <w:t>ПОРЯДОК</w:t>
      </w:r>
    </w:p>
    <w:p w:rsidR="006B0349" w:rsidRDefault="006B0349">
      <w:pPr>
        <w:pStyle w:val="ConsPlusTitle"/>
        <w:jc w:val="center"/>
      </w:pPr>
      <w:r>
        <w:t>ПРОВЕДЕНИЯ АНТИКОРРУПЦИОННОЙ ЭКСПЕРТИЗЫ ПРОЕКТОВ ПРИКАЗОВ</w:t>
      </w:r>
    </w:p>
    <w:p w:rsidR="006B0349" w:rsidRDefault="006B0349">
      <w:pPr>
        <w:pStyle w:val="ConsPlusTitle"/>
        <w:jc w:val="center"/>
      </w:pPr>
      <w:r>
        <w:t>КОМИТЕТА ЛЕНИНГРАДСКОЙ ОБЛАСТИ ПО ОБРАЩЕНИЮ С ОТХОДАМИ</w:t>
      </w:r>
    </w:p>
    <w:p w:rsidR="006B0349" w:rsidRDefault="006B0349">
      <w:pPr>
        <w:pStyle w:val="ConsPlusTitle"/>
        <w:jc w:val="center"/>
      </w:pPr>
      <w:r>
        <w:t>И ПРИКАЗОВ КОМИТЕТА ЛЕНИНГРАДСКОЙ ОБЛАСТИ ПО ОБРАЩЕНИЮ</w:t>
      </w:r>
    </w:p>
    <w:p w:rsidR="006B0349" w:rsidRDefault="006B0349">
      <w:pPr>
        <w:pStyle w:val="ConsPlusTitle"/>
        <w:jc w:val="center"/>
      </w:pPr>
      <w:r>
        <w:t>С ОТХОДАМИ</w:t>
      </w:r>
    </w:p>
    <w:p w:rsidR="006B0349" w:rsidRDefault="006B0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B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49" w:rsidRDefault="006B0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49" w:rsidRDefault="006B0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0349" w:rsidRDefault="006B0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0349" w:rsidRDefault="006B0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Ленинградской области по обращению с отходами</w:t>
            </w:r>
            <w:proofErr w:type="gramEnd"/>
          </w:p>
          <w:p w:rsidR="006B0349" w:rsidRDefault="006B0349">
            <w:pPr>
              <w:pStyle w:val="ConsPlusNormal"/>
              <w:jc w:val="center"/>
            </w:pPr>
            <w:r>
              <w:rPr>
                <w:color w:val="392C69"/>
              </w:rPr>
              <w:t>от 31.05.2022 N 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349" w:rsidRDefault="006B0349">
            <w:pPr>
              <w:pStyle w:val="ConsPlusNormal"/>
            </w:pPr>
          </w:p>
        </w:tc>
      </w:tr>
    </w:tbl>
    <w:p w:rsidR="006B0349" w:rsidRDefault="006B0349">
      <w:pPr>
        <w:pStyle w:val="ConsPlusNormal"/>
        <w:jc w:val="center"/>
      </w:pPr>
    </w:p>
    <w:p w:rsidR="006B0349" w:rsidRDefault="006B0349">
      <w:pPr>
        <w:pStyle w:val="ConsPlusTitle"/>
        <w:jc w:val="center"/>
        <w:outlineLvl w:val="1"/>
      </w:pPr>
      <w:r>
        <w:t>1. Общие положения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проектов приказов Комитета Ленинградской области по обращению с отходами (далее - Комитет) и приказов Комитета в целях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а также процедуру подготовки экспертных заключений по результатам</w:t>
      </w:r>
      <w:proofErr w:type="gramEnd"/>
      <w:r>
        <w:t xml:space="preserve"> ее проведения.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1.2. В целях настоящего Порядка применяются следующие понятия: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Сектор - Сектор правового обеспечения Комитета;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антикоррупционная экспертиза - экспертное исследование с целью выявления в проектах приказов Комитета и приказах Комитета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приказ - нормативный правовой акт;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Методика - </w:t>
      </w:r>
      <w:hyperlink r:id="rId12">
        <w:r>
          <w:rPr>
            <w:color w:val="0000FF"/>
          </w:rPr>
          <w:t>методика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сеть Интернет - информационно-телекоммуникационная сеть "Интернет".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Title"/>
        <w:jc w:val="center"/>
        <w:outlineLvl w:val="1"/>
      </w:pPr>
      <w:r>
        <w:t>2. Порядок проведения антикоррупционной экспертизы проектов</w:t>
      </w:r>
    </w:p>
    <w:p w:rsidR="006B0349" w:rsidRDefault="006B0349">
      <w:pPr>
        <w:pStyle w:val="ConsPlusTitle"/>
        <w:jc w:val="center"/>
      </w:pPr>
      <w:r>
        <w:t>приказов Комитета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>2.1. Антикоррупционная экспертиза проектов приказов Комитета проводится при осуществлении их правовой (юридической) экспертизы в соответствии с Методикой.</w:t>
      </w:r>
    </w:p>
    <w:p w:rsidR="006B0349" w:rsidRDefault="006B0349">
      <w:pPr>
        <w:pStyle w:val="ConsPlusNormal"/>
        <w:spacing w:before="200"/>
        <w:ind w:firstLine="540"/>
        <w:jc w:val="both"/>
      </w:pPr>
      <w:bookmarkStart w:id="2" w:name="P63"/>
      <w:bookmarkEnd w:id="2"/>
      <w:r>
        <w:t xml:space="preserve">2.2. </w:t>
      </w:r>
      <w:proofErr w:type="gramStart"/>
      <w:r>
        <w:t>Антикоррупционная экспертиза проектов приказов Комитета проводится государственными гражданскими служащими Ленинградской области (далее - гражданский служащий), замещающими должность в Секторе, на которых указанная обязанность возложена должностным регламентом.</w:t>
      </w:r>
      <w:proofErr w:type="gramEnd"/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2.3. Срок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составляет не более пяти дней со дня поступления проекта приказа Комитета в Сектор.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2.4. По результатам </w:t>
      </w:r>
      <w:proofErr w:type="gramStart"/>
      <w:r>
        <w:t>проведения антикоррупционной экспертизы проектов приказов Комитета</w:t>
      </w:r>
      <w:proofErr w:type="gramEnd"/>
      <w:r>
        <w:t xml:space="preserve">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lastRenderedPageBreak/>
        <w:t>дата подготовки экспертного заключения;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наименование проекта приказа Комитета, прошедшего антикоррупционную экспертизу;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положения проекта приказа Комитета,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</w:t>
      </w:r>
      <w:proofErr w:type="gramStart"/>
      <w:r>
        <w:t>и(</w:t>
      </w:r>
      <w:proofErr w:type="gramEnd"/>
      <w:r>
        <w:t xml:space="preserve">или)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сведения о гражданском служащем, проводившем антикоррупционную экспертизу проекта приказа Комитета (наименование замещаемой должности, фамилия и инициалы);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личная подпись гражданского служащего, проводившего антикоррупционную экспертизу проекта приказа Комитета.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2.5. Экспертное заключение подписывается председателем Комитета.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2.6. 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Title"/>
        <w:jc w:val="center"/>
        <w:outlineLvl w:val="1"/>
      </w:pPr>
      <w:r>
        <w:t>3. Порядок проведения антикоррупционной экспертизы</w:t>
      </w:r>
    </w:p>
    <w:p w:rsidR="006B0349" w:rsidRDefault="006B0349">
      <w:pPr>
        <w:pStyle w:val="ConsPlusTitle"/>
        <w:jc w:val="center"/>
      </w:pPr>
      <w:r>
        <w:t>приказов Комитета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 xml:space="preserve">3.1. Антикоррупционная экспертиза приказов Комитета проводится гражданскими служащими, указанными в </w:t>
      </w:r>
      <w:hyperlink w:anchor="P63">
        <w:r>
          <w:rPr>
            <w:color w:val="0000FF"/>
          </w:rPr>
          <w:t>пункте 2.2</w:t>
        </w:r>
      </w:hyperlink>
      <w:r>
        <w:t xml:space="preserve"> настоящего Порядка, при проведении их правовой (юридической) экспертизы и мониторинге их применения в соответствии с Методикой.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3.2. По результатам проведения антикоррупционной экспертизы приказа Комитета гражданский служащий, проводивший антикоррупционную экспертизу, подготавливает экспертное заключение, которое должно содержать следующие сведения: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дата подготовки экспертного заключения;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дата принятия (издания), номер, наименование приказа Комитета, являющегося объектом антикоррупционной экспертизы;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положения приказа Комитета,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предложения о способах устранения выявленных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</w:t>
      </w:r>
      <w:proofErr w:type="gramStart"/>
      <w:r>
        <w:t>и(</w:t>
      </w:r>
      <w:proofErr w:type="gramEnd"/>
      <w:r>
        <w:t xml:space="preserve">или)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 (в случае выявления);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сведения о гражданском служащем, проводившем антикоррупционную экспертизу приказа Комитета (наименование замещаемой должности, фамилия и инициалы);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личная подпись гражданского служащего, проводившего антикоррупционную экспертизу приказа Комитета.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lastRenderedPageBreak/>
        <w:t xml:space="preserve">В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положений,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3.3. Экспертное заключение подписывается председателем Комитета.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Title"/>
        <w:jc w:val="center"/>
        <w:outlineLvl w:val="1"/>
      </w:pPr>
      <w:r>
        <w:t>4. Независимая антикоррупционная экспертиза приказов</w:t>
      </w:r>
    </w:p>
    <w:p w:rsidR="006B0349" w:rsidRDefault="006B0349">
      <w:pPr>
        <w:pStyle w:val="ConsPlusTitle"/>
        <w:jc w:val="center"/>
      </w:pPr>
      <w:r>
        <w:t>Комитета и проектов приказов Комитета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 xml:space="preserve">4.1. В целях </w:t>
      </w:r>
      <w:proofErr w:type="gramStart"/>
      <w:r>
        <w:t>обеспечения проведения независимой антикоррупционной экспертизы проекта приказа Комитета</w:t>
      </w:r>
      <w:proofErr w:type="gramEnd"/>
      <w:r>
        <w:t xml:space="preserve"> разработчик проекта приказа обеспечивает его представление в Сектор.</w:t>
      </w:r>
    </w:p>
    <w:p w:rsidR="006B0349" w:rsidRDefault="006B0349">
      <w:pPr>
        <w:pStyle w:val="ConsPlusNormal"/>
        <w:spacing w:before="200"/>
        <w:ind w:firstLine="540"/>
        <w:jc w:val="both"/>
      </w:pPr>
      <w:proofErr w:type="gramStart"/>
      <w:r>
        <w:t>Начальник Сектора при поступлении к нему проекта приказа Комитета организует его размещение в сетевом издании "Электронное опубликование документов" (www.npa47.ru) в течение рабочего дня, соответствующего дню направления проекта приказа Комитета на согласование в Сектор,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</w:t>
      </w:r>
      <w:proofErr w:type="gramEnd"/>
      <w:r>
        <w:t xml:space="preserve"> Срок, на который проект приказа Комитета размещается в сети Интернет для проведения независимой антикоррупционной экспертизы, не может составлять менее семи дней.</w:t>
      </w:r>
    </w:p>
    <w:p w:rsidR="006B0349" w:rsidRDefault="006B034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комитета Ленинградской области по обращению с отходами от 31.05.2022 N 6)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4.2. Прием и рассмотрение заключений, составленных независимыми экспертами, проводившими независимую антикоррупционную экспертизу проекта приказа Комитета или приказа Комитета, осуществляют гражданские служащие, замещающие должности в Секторе.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4.3. Заключение по результатам независимой антикоррупционной экспертизы носит рекомендательный характер и подлежит обязательному рассмотрению Сектором в тридцатидневный срок со дня его получения.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4.4.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Title"/>
        <w:jc w:val="center"/>
        <w:outlineLvl w:val="1"/>
      </w:pPr>
      <w:r>
        <w:t>5. Учет результатов антикоррупционной экспертизы приказов</w:t>
      </w:r>
    </w:p>
    <w:p w:rsidR="006B0349" w:rsidRDefault="006B0349">
      <w:pPr>
        <w:pStyle w:val="ConsPlusTitle"/>
        <w:jc w:val="center"/>
      </w:pPr>
      <w:r>
        <w:t>Комитета и проектов приказов Комитета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 xml:space="preserve">5.1. С целью </w:t>
      </w:r>
      <w:proofErr w:type="gramStart"/>
      <w:r>
        <w:t>организации учета результатов антикоррупционной экспертизы приказов Комитета</w:t>
      </w:r>
      <w:proofErr w:type="gramEnd"/>
      <w:r>
        <w:t xml:space="preserve"> и проектов приказов Комитета в комитет правового обеспечения Ленинградской области направляются следующие отчеты: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промежуточный (полугодовой) отчет - до 5 июля текущего года;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6B0349" w:rsidRDefault="006B0349">
      <w:pPr>
        <w:pStyle w:val="ConsPlusNormal"/>
        <w:spacing w:before="200"/>
        <w:ind w:firstLine="540"/>
        <w:jc w:val="both"/>
      </w:pPr>
      <w:hyperlink w:anchor="P126">
        <w:r>
          <w:rPr>
            <w:color w:val="0000FF"/>
          </w:rPr>
          <w:t>Отчеты</w:t>
        </w:r>
      </w:hyperlink>
      <w:r>
        <w:t xml:space="preserve"> формируются согласно приложению к настоящему Порядку.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jc w:val="right"/>
      </w:pPr>
    </w:p>
    <w:p w:rsidR="006B0349" w:rsidRDefault="006B0349">
      <w:pPr>
        <w:pStyle w:val="ConsPlusNormal"/>
        <w:jc w:val="right"/>
        <w:outlineLvl w:val="1"/>
      </w:pPr>
      <w:r>
        <w:t>Приложение</w:t>
      </w:r>
    </w:p>
    <w:p w:rsidR="006B0349" w:rsidRDefault="006B0349">
      <w:pPr>
        <w:pStyle w:val="ConsPlusNormal"/>
        <w:jc w:val="right"/>
      </w:pPr>
      <w:r>
        <w:t>к Порядку</w:t>
      </w:r>
    </w:p>
    <w:p w:rsidR="006B0349" w:rsidRDefault="006B0349">
      <w:pPr>
        <w:pStyle w:val="ConsPlusNormal"/>
        <w:jc w:val="right"/>
      </w:pPr>
      <w:r>
        <w:t xml:space="preserve">проведения </w:t>
      </w:r>
      <w:proofErr w:type="gramStart"/>
      <w:r>
        <w:t>антикоррупционной</w:t>
      </w:r>
      <w:proofErr w:type="gramEnd"/>
    </w:p>
    <w:p w:rsidR="006B0349" w:rsidRDefault="006B0349">
      <w:pPr>
        <w:pStyle w:val="ConsPlusNormal"/>
        <w:jc w:val="right"/>
      </w:pPr>
      <w:r>
        <w:t>экспертизы проектов приказов</w:t>
      </w:r>
    </w:p>
    <w:p w:rsidR="006B0349" w:rsidRDefault="006B0349">
      <w:pPr>
        <w:pStyle w:val="ConsPlusNormal"/>
        <w:jc w:val="right"/>
      </w:pPr>
      <w:r>
        <w:t>Комитета Ленинградской области</w:t>
      </w:r>
    </w:p>
    <w:p w:rsidR="006B0349" w:rsidRDefault="006B0349">
      <w:pPr>
        <w:pStyle w:val="ConsPlusNormal"/>
        <w:jc w:val="right"/>
      </w:pPr>
      <w:r>
        <w:lastRenderedPageBreak/>
        <w:t>по обращению с отходами и приказов</w:t>
      </w:r>
    </w:p>
    <w:p w:rsidR="006B0349" w:rsidRDefault="006B0349">
      <w:pPr>
        <w:pStyle w:val="ConsPlusNormal"/>
        <w:jc w:val="right"/>
      </w:pPr>
      <w:r>
        <w:t>Комитета Ленинградской области</w:t>
      </w:r>
    </w:p>
    <w:p w:rsidR="006B0349" w:rsidRDefault="006B0349">
      <w:pPr>
        <w:pStyle w:val="ConsPlusNormal"/>
        <w:jc w:val="right"/>
      </w:pPr>
      <w:r>
        <w:t>по обращению с отходами</w:t>
      </w:r>
    </w:p>
    <w:p w:rsidR="006B0349" w:rsidRDefault="006B034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535"/>
        <w:gridCol w:w="2268"/>
      </w:tblGrid>
      <w:tr w:rsidR="006B03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349" w:rsidRDefault="006B0349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both"/>
            </w:pPr>
            <w:bookmarkStart w:id="3" w:name="P126"/>
            <w:bookmarkEnd w:id="3"/>
            <w:r>
              <w:t>отчет</w:t>
            </w:r>
          </w:p>
        </w:tc>
      </w:tr>
      <w:tr w:rsidR="006B034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  <w:r>
              <w:t>(промежуточный/итоговый)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</w:p>
        </w:tc>
      </w:tr>
      <w:tr w:rsidR="006B034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  <w:r>
              <w:t>Комитета Ленинградской области по обращению с отходами о результатах</w:t>
            </w:r>
          </w:p>
          <w:p w:rsidR="006B0349" w:rsidRDefault="006B0349">
            <w:pPr>
              <w:pStyle w:val="ConsPlusNormal"/>
              <w:jc w:val="center"/>
            </w:pPr>
            <w:r>
              <w:t>антикоррупционной экспертизы проектов приказов Комитета и приказов</w:t>
            </w:r>
          </w:p>
          <w:p w:rsidR="006B0349" w:rsidRDefault="006B0349">
            <w:pPr>
              <w:pStyle w:val="ConsPlusNormal"/>
              <w:jc w:val="center"/>
            </w:pPr>
            <w:r>
              <w:t>Комитета в 20__ году</w:t>
            </w:r>
          </w:p>
        </w:tc>
      </w:tr>
    </w:tbl>
    <w:p w:rsidR="006B0349" w:rsidRDefault="006B0349">
      <w:pPr>
        <w:pStyle w:val="ConsPlusNormal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70"/>
      </w:tblGrid>
      <w:tr w:rsidR="006B034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  <w:r>
              <w:t>Результаты проведенных антикоррупционных экспертиз проектов приказов</w:t>
            </w:r>
          </w:p>
        </w:tc>
      </w:tr>
      <w:tr w:rsidR="006B0349"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7" w:type="dxa"/>
          </w:tcPr>
          <w:p w:rsidR="006B0349" w:rsidRDefault="006B0349">
            <w:pPr>
              <w:pStyle w:val="ConsPlusNormal"/>
              <w:jc w:val="center"/>
            </w:pPr>
            <w:r>
              <w:t>Количество проектов приказов, прошедших экспертизу</w:t>
            </w:r>
          </w:p>
        </w:tc>
        <w:tc>
          <w:tcPr>
            <w:tcW w:w="2267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&lt;1&gt;, их количество</w:t>
            </w:r>
          </w:p>
        </w:tc>
        <w:tc>
          <w:tcPr>
            <w:tcW w:w="2267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Информация 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270" w:type="dxa"/>
          </w:tcPr>
          <w:p w:rsidR="006B0349" w:rsidRDefault="006B0349">
            <w:pPr>
              <w:pStyle w:val="ConsPlusNormal"/>
              <w:jc w:val="center"/>
            </w:pPr>
            <w:r>
              <w:t>Дополнительная информация &lt;2&gt;</w:t>
            </w: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67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267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270" w:type="dxa"/>
          </w:tcPr>
          <w:p w:rsidR="006B0349" w:rsidRDefault="006B0349">
            <w:pPr>
              <w:pStyle w:val="ConsPlusNormal"/>
              <w:jc w:val="center"/>
            </w:pPr>
          </w:p>
        </w:tc>
      </w:tr>
    </w:tbl>
    <w:p w:rsidR="006B0349" w:rsidRDefault="006B0349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700"/>
        <w:gridCol w:w="2551"/>
        <w:gridCol w:w="2269"/>
      </w:tblGrid>
      <w:tr w:rsidR="006B034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  <w:r>
              <w:t>Перечень проведенных антикоррупционных экспертиз приказов</w:t>
            </w:r>
          </w:p>
        </w:tc>
      </w:tr>
      <w:tr w:rsidR="006B0349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0349" w:rsidRDefault="006B0349">
            <w:pPr>
              <w:pStyle w:val="ConsPlusNormal"/>
              <w:jc w:val="both"/>
            </w:pP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</w:tcPr>
          <w:p w:rsidR="006B0349" w:rsidRDefault="006B0349">
            <w:pPr>
              <w:pStyle w:val="ConsPlusNormal"/>
              <w:jc w:val="center"/>
            </w:pPr>
            <w:r>
              <w:t>Наименование приказа, прошедшего экспертизу, дата издания и номер</w:t>
            </w:r>
          </w:p>
        </w:tc>
        <w:tc>
          <w:tcPr>
            <w:tcW w:w="1700" w:type="dxa"/>
          </w:tcPr>
          <w:p w:rsidR="006B0349" w:rsidRDefault="006B0349">
            <w:pPr>
              <w:pStyle w:val="ConsPlusNormal"/>
              <w:jc w:val="center"/>
            </w:pPr>
            <w:r>
              <w:t>Дата подготовки экспертного заключения</w:t>
            </w:r>
          </w:p>
        </w:tc>
        <w:tc>
          <w:tcPr>
            <w:tcW w:w="2551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&lt;1&gt;</w:t>
            </w:r>
          </w:p>
        </w:tc>
        <w:tc>
          <w:tcPr>
            <w:tcW w:w="2269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Информация 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6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269" w:type="dxa"/>
          </w:tcPr>
          <w:p w:rsidR="006B0349" w:rsidRDefault="006B0349">
            <w:pPr>
              <w:pStyle w:val="ConsPlusNormal"/>
              <w:jc w:val="center"/>
            </w:pPr>
          </w:p>
        </w:tc>
      </w:tr>
    </w:tbl>
    <w:p w:rsidR="006B0349" w:rsidRDefault="006B0349">
      <w:pPr>
        <w:pStyle w:val="ConsPlusNormal"/>
        <w:ind w:firstLine="540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94"/>
        <w:gridCol w:w="1984"/>
        <w:gridCol w:w="2557"/>
      </w:tblGrid>
      <w:tr w:rsidR="006B034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  <w:r>
              <w:t>Результаты независимой антикоррупционной экспертизы проектов приказов &lt;3&gt;</w:t>
            </w:r>
          </w:p>
        </w:tc>
      </w:tr>
      <w:tr w:rsidR="006B0349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0349" w:rsidRDefault="006B0349">
            <w:pPr>
              <w:pStyle w:val="ConsPlusNormal"/>
              <w:jc w:val="both"/>
            </w:pP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6B0349" w:rsidRDefault="006B0349">
            <w:pPr>
              <w:pStyle w:val="ConsPlusNormal"/>
              <w:jc w:val="center"/>
            </w:pPr>
            <w: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1694" w:type="dxa"/>
          </w:tcPr>
          <w:p w:rsidR="006B0349" w:rsidRDefault="006B0349">
            <w:pPr>
              <w:pStyle w:val="ConsPlusNormal"/>
              <w:jc w:val="center"/>
            </w:pPr>
            <w:r>
              <w:t>Реквизиты поступившего заключения (дата, номер, кем составлено) &lt;4&gt;</w:t>
            </w:r>
          </w:p>
        </w:tc>
        <w:tc>
          <w:tcPr>
            <w:tcW w:w="1984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Выявленные независимым экспертом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&lt;1&gt;</w:t>
            </w:r>
          </w:p>
        </w:tc>
        <w:tc>
          <w:tcPr>
            <w:tcW w:w="2557" w:type="dxa"/>
          </w:tcPr>
          <w:p w:rsidR="006B0349" w:rsidRDefault="006B0349">
            <w:pPr>
              <w:pStyle w:val="ConsPlusNormal"/>
              <w:jc w:val="center"/>
            </w:pPr>
            <w: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1694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557" w:type="dxa"/>
          </w:tcPr>
          <w:p w:rsidR="006B0349" w:rsidRDefault="006B0349">
            <w:pPr>
              <w:pStyle w:val="ConsPlusNormal"/>
              <w:jc w:val="center"/>
            </w:pPr>
          </w:p>
        </w:tc>
      </w:tr>
    </w:tbl>
    <w:p w:rsidR="006B0349" w:rsidRDefault="006B0349">
      <w:pPr>
        <w:pStyle w:val="ConsPlusNormal"/>
        <w:jc w:val="center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94"/>
        <w:gridCol w:w="1984"/>
        <w:gridCol w:w="2557"/>
      </w:tblGrid>
      <w:tr w:rsidR="006B0349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0349" w:rsidRDefault="006B0349">
            <w:pPr>
              <w:pStyle w:val="ConsPlusNormal"/>
              <w:jc w:val="center"/>
            </w:pPr>
            <w:r>
              <w:t>Результаты независимой антикоррупционной экспертизы приказов &lt;3&gt;</w:t>
            </w:r>
          </w:p>
        </w:tc>
      </w:tr>
      <w:tr w:rsidR="006B0349">
        <w:tc>
          <w:tcPr>
            <w:tcW w:w="9070" w:type="dxa"/>
            <w:gridSpan w:val="5"/>
            <w:tcBorders>
              <w:top w:val="nil"/>
              <w:left w:val="nil"/>
              <w:right w:val="nil"/>
            </w:tcBorders>
          </w:tcPr>
          <w:p w:rsidR="006B0349" w:rsidRDefault="006B0349">
            <w:pPr>
              <w:pStyle w:val="ConsPlusNormal"/>
              <w:jc w:val="both"/>
            </w:pP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Наименование приказа, подвергшегося независимой антикоррупционной экспертизе, дата </w:t>
            </w:r>
            <w:r>
              <w:lastRenderedPageBreak/>
              <w:t>издания и номер</w:t>
            </w:r>
          </w:p>
        </w:tc>
        <w:tc>
          <w:tcPr>
            <w:tcW w:w="1694" w:type="dxa"/>
          </w:tcPr>
          <w:p w:rsidR="006B0349" w:rsidRDefault="006B0349">
            <w:pPr>
              <w:pStyle w:val="ConsPlusNormal"/>
              <w:jc w:val="center"/>
            </w:pPr>
            <w:r>
              <w:lastRenderedPageBreak/>
              <w:t>Реквизиты поступившего заключения (дата, номер, кем составлено) &lt;4&gt;</w:t>
            </w:r>
          </w:p>
        </w:tc>
        <w:tc>
          <w:tcPr>
            <w:tcW w:w="1984" w:type="dxa"/>
          </w:tcPr>
          <w:p w:rsidR="006B0349" w:rsidRDefault="006B0349">
            <w:pPr>
              <w:pStyle w:val="ConsPlusNormal"/>
              <w:jc w:val="center"/>
            </w:pPr>
            <w:r>
              <w:t xml:space="preserve">Выявленные независимым экспертом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&lt;1&gt;</w:t>
            </w:r>
          </w:p>
        </w:tc>
        <w:tc>
          <w:tcPr>
            <w:tcW w:w="2557" w:type="dxa"/>
          </w:tcPr>
          <w:p w:rsidR="006B0349" w:rsidRDefault="006B0349">
            <w:pPr>
              <w:pStyle w:val="ConsPlusNormal"/>
              <w:jc w:val="center"/>
            </w:pPr>
            <w:r>
              <w:t>Информация о результатах рассмотрения заключения, в том числе о направлении ответа эксперту &lt;5&gt;</w:t>
            </w:r>
          </w:p>
        </w:tc>
      </w:tr>
      <w:tr w:rsidR="006B034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1694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6B0349" w:rsidRDefault="006B0349">
            <w:pPr>
              <w:pStyle w:val="ConsPlusNormal"/>
              <w:jc w:val="center"/>
            </w:pPr>
          </w:p>
        </w:tc>
        <w:tc>
          <w:tcPr>
            <w:tcW w:w="2557" w:type="dxa"/>
          </w:tcPr>
          <w:p w:rsidR="006B0349" w:rsidRDefault="006B0349">
            <w:pPr>
              <w:pStyle w:val="ConsPlusNormal"/>
              <w:jc w:val="center"/>
            </w:pPr>
          </w:p>
        </w:tc>
      </w:tr>
    </w:tbl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  <w:r>
        <w:t>Примечания: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 xml:space="preserve">&lt;1&gt; Наименования </w:t>
      </w:r>
      <w:proofErr w:type="spellStart"/>
      <w:r>
        <w:t>коррупциогенных</w:t>
      </w:r>
      <w:proofErr w:type="spellEnd"/>
      <w:r>
        <w:t xml:space="preserve"> факторов приводятся в соответствии с Методикой.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 если в проекте приказа выявлены </w:t>
      </w:r>
      <w:proofErr w:type="spellStart"/>
      <w:r>
        <w:t>коррупциогенные</w:t>
      </w:r>
      <w:proofErr w:type="spellEnd"/>
      <w: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условии поступления в отчетном году в Комитет соответствующих заключений независимых экспертов.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рилагаются копии заключений.</w:t>
      </w:r>
    </w:p>
    <w:p w:rsidR="006B0349" w:rsidRDefault="006B0349">
      <w:pPr>
        <w:pStyle w:val="ConsPlusNormal"/>
        <w:spacing w:before="200"/>
        <w:ind w:firstLine="540"/>
        <w:jc w:val="both"/>
      </w:pPr>
      <w:r>
        <w:t>&lt;5</w:t>
      </w:r>
      <w:proofErr w:type="gramStart"/>
      <w:r>
        <w:t>&gt; П</w:t>
      </w:r>
      <w:proofErr w:type="gramEnd"/>
      <w:r>
        <w:t>рилагаются копии ответов независимым экспертам.</w:t>
      </w: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ind w:firstLine="540"/>
        <w:jc w:val="both"/>
      </w:pPr>
    </w:p>
    <w:p w:rsidR="006B0349" w:rsidRDefault="006B0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F5D" w:rsidRDefault="00AF1F5D"/>
    <w:sectPr w:rsidR="00AF1F5D" w:rsidSect="0095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49"/>
    <w:rsid w:val="006B0349"/>
    <w:rsid w:val="00A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03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03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7748E8CBB5BA44BDD4E4D7BED32260F99581433DC852E5C494570BE069D6280D50B4CD4D09F3DD0D4FDBAC0m3zDL" TargetMode="External"/><Relationship Id="rId13" Type="http://schemas.openxmlformats.org/officeDocument/2006/relationships/hyperlink" Target="consultantplus://offline/ref=B447748E8CBB5BA44BDD4E4D7BED32260F9D5A1433D3852E5C494570BE069D6292D55340D6D4813DDEC1ABEB866A5CC5945CACF9766B4DD6m6z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7748E8CBB5BA44BDD4E4D7BED32260F9D591537D1852E5C494570BE069D6280D50B4CD4D09F3DD0D4FDBAC0m3zDL" TargetMode="External"/><Relationship Id="rId12" Type="http://schemas.openxmlformats.org/officeDocument/2006/relationships/hyperlink" Target="consultantplus://offline/ref=B447748E8CBB5BA44BDD515C6EED32260F9A5D1734D7852E5C494570BE069D6292D55340D6D4813FDFC1ABEB866A5CC5945CACF9766B4DD6m6z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7748E8CBB5BA44BDD515C6EED32260E98551E34D3852E5C494570BE069D6280D50B4CD4D09F3DD0D4FDBAC0m3zDL" TargetMode="External"/><Relationship Id="rId11" Type="http://schemas.openxmlformats.org/officeDocument/2006/relationships/hyperlink" Target="consultantplus://offline/ref=B447748E8CBB5BA44BDD515C6EED32260E98551E34D3852E5C494570BE069D6280D50B4CD4D09F3DD0D4FDBAC0m3zDL" TargetMode="External"/><Relationship Id="rId5" Type="http://schemas.openxmlformats.org/officeDocument/2006/relationships/hyperlink" Target="consultantplus://offline/ref=B447748E8CBB5BA44BDD4E4D7BED32260F9D5A1433D3852E5C494570BE069D6292D55340D6D4813DDDC1ABEB866A5CC5945CACF9766B4DD6m6z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47748E8CBB5BA44BDD4E4D7BED32260F9D5A1433D3852E5C494570BE069D6292D55340D6D4813DDDC1ABEB866A5CC5945CACF9766B4DD6m6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7748E8CBB5BA44BDD4E4D7BED32260F99591135DD852E5C494570BE069D6280D50B4CD4D09F3DD0D4FDBAC0m3z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1</cp:revision>
  <dcterms:created xsi:type="dcterms:W3CDTF">2022-08-24T11:51:00Z</dcterms:created>
  <dcterms:modified xsi:type="dcterms:W3CDTF">2022-08-24T11:52:00Z</dcterms:modified>
</cp:coreProperties>
</file>