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CF" w:rsidRDefault="00A014CF" w:rsidP="00A014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w:t>
      </w:r>
      <w:r w:rsidRPr="00A014CF">
        <w:rPr>
          <w:rFonts w:ascii="Times New Roman" w:hAnsi="Times New Roman" w:cs="Times New Roman"/>
          <w:b/>
          <w:sz w:val="28"/>
          <w:szCs w:val="28"/>
        </w:rPr>
        <w:t xml:space="preserve"> оценки </w:t>
      </w:r>
      <w:proofErr w:type="spellStart"/>
      <w:r w:rsidRPr="00A014CF">
        <w:rPr>
          <w:rFonts w:ascii="Times New Roman" w:hAnsi="Times New Roman" w:cs="Times New Roman"/>
          <w:b/>
          <w:sz w:val="28"/>
          <w:szCs w:val="28"/>
        </w:rPr>
        <w:t>комплаенс</w:t>
      </w:r>
      <w:proofErr w:type="spellEnd"/>
      <w:r w:rsidRPr="00A014CF">
        <w:rPr>
          <w:rFonts w:ascii="Times New Roman" w:hAnsi="Times New Roman" w:cs="Times New Roman"/>
          <w:b/>
          <w:sz w:val="28"/>
          <w:szCs w:val="28"/>
        </w:rPr>
        <w:t xml:space="preserve">-рисков, исполнения мероприятий по снижению </w:t>
      </w:r>
      <w:proofErr w:type="spellStart"/>
      <w:r w:rsidRPr="00A014CF">
        <w:rPr>
          <w:rFonts w:ascii="Times New Roman" w:hAnsi="Times New Roman" w:cs="Times New Roman"/>
          <w:b/>
          <w:sz w:val="28"/>
          <w:szCs w:val="28"/>
        </w:rPr>
        <w:t>комплаенс</w:t>
      </w:r>
      <w:proofErr w:type="spellEnd"/>
      <w:r w:rsidRPr="00A014CF">
        <w:rPr>
          <w:rFonts w:ascii="Times New Roman" w:hAnsi="Times New Roman" w:cs="Times New Roman"/>
          <w:b/>
          <w:sz w:val="28"/>
          <w:szCs w:val="28"/>
        </w:rPr>
        <w:t xml:space="preserve">-рисков, достижения ключевых показателей эффективности функционирования антимонопольного </w:t>
      </w:r>
      <w:proofErr w:type="spellStart"/>
      <w:r w:rsidRPr="00A014CF">
        <w:rPr>
          <w:rFonts w:ascii="Times New Roman" w:hAnsi="Times New Roman" w:cs="Times New Roman"/>
          <w:b/>
          <w:sz w:val="28"/>
          <w:szCs w:val="28"/>
        </w:rPr>
        <w:t>комплаенса</w:t>
      </w:r>
      <w:proofErr w:type="spellEnd"/>
      <w:r w:rsidRPr="00A014CF">
        <w:rPr>
          <w:rFonts w:ascii="Times New Roman" w:hAnsi="Times New Roman" w:cs="Times New Roman"/>
          <w:b/>
          <w:sz w:val="28"/>
          <w:szCs w:val="28"/>
        </w:rPr>
        <w:t xml:space="preserve"> </w:t>
      </w:r>
      <w:r w:rsidRPr="00292530">
        <w:rPr>
          <w:rFonts w:ascii="Times New Roman" w:hAnsi="Times New Roman" w:cs="Times New Roman"/>
          <w:b/>
          <w:sz w:val="28"/>
          <w:szCs w:val="28"/>
        </w:rPr>
        <w:t xml:space="preserve">в Комитете </w:t>
      </w:r>
      <w:r w:rsidRPr="00E839C0">
        <w:rPr>
          <w:rFonts w:ascii="Times New Roman" w:hAnsi="Times New Roman" w:cs="Times New Roman"/>
          <w:b/>
          <w:sz w:val="28"/>
          <w:szCs w:val="28"/>
        </w:rPr>
        <w:t xml:space="preserve">Ленинградской области </w:t>
      </w:r>
      <w:r>
        <w:rPr>
          <w:rFonts w:ascii="Times New Roman" w:hAnsi="Times New Roman" w:cs="Times New Roman"/>
          <w:b/>
          <w:sz w:val="28"/>
          <w:szCs w:val="28"/>
        </w:rPr>
        <w:t xml:space="preserve">по </w:t>
      </w:r>
      <w:r w:rsidRPr="00E839C0">
        <w:rPr>
          <w:rFonts w:ascii="Times New Roman" w:hAnsi="Times New Roman" w:cs="Times New Roman"/>
          <w:b/>
          <w:sz w:val="28"/>
          <w:szCs w:val="28"/>
        </w:rPr>
        <w:t xml:space="preserve">обращению </w:t>
      </w:r>
    </w:p>
    <w:p w:rsidR="00EB08AB" w:rsidRPr="00E839C0" w:rsidRDefault="00A014CF" w:rsidP="00A014CF">
      <w:pPr>
        <w:spacing w:after="0" w:line="240" w:lineRule="auto"/>
        <w:jc w:val="center"/>
        <w:rPr>
          <w:rFonts w:ascii="Times New Roman" w:hAnsi="Times New Roman" w:cs="Times New Roman"/>
          <w:b/>
          <w:sz w:val="28"/>
          <w:szCs w:val="28"/>
        </w:rPr>
      </w:pPr>
      <w:r w:rsidRPr="00E839C0">
        <w:rPr>
          <w:rFonts w:ascii="Times New Roman" w:hAnsi="Times New Roman" w:cs="Times New Roman"/>
          <w:b/>
          <w:sz w:val="28"/>
          <w:szCs w:val="28"/>
        </w:rPr>
        <w:t>с отходами</w:t>
      </w:r>
      <w:r w:rsidRPr="00A014CF">
        <w:rPr>
          <w:rFonts w:ascii="Times New Roman" w:hAnsi="Times New Roman" w:cs="Times New Roman"/>
          <w:b/>
          <w:sz w:val="28"/>
          <w:szCs w:val="28"/>
        </w:rPr>
        <w:t xml:space="preserve"> за 2022 год</w:t>
      </w:r>
      <w:r>
        <w:rPr>
          <w:rFonts w:ascii="Times New Roman" w:hAnsi="Times New Roman" w:cs="Times New Roman"/>
          <w:b/>
          <w:sz w:val="28"/>
          <w:szCs w:val="28"/>
        </w:rPr>
        <w:t xml:space="preserve">. </w:t>
      </w:r>
    </w:p>
    <w:p w:rsidR="00EB08AB" w:rsidRDefault="00EB08AB" w:rsidP="00FA76AA">
      <w:pPr>
        <w:spacing w:after="0" w:line="240" w:lineRule="auto"/>
        <w:ind w:firstLine="709"/>
        <w:rPr>
          <w:rFonts w:ascii="Times New Roman" w:hAnsi="Times New Roman" w:cs="Times New Roman"/>
          <w:b/>
          <w:sz w:val="28"/>
          <w:szCs w:val="28"/>
        </w:rPr>
      </w:pPr>
    </w:p>
    <w:p w:rsidR="003875D5" w:rsidRDefault="00731233" w:rsidP="00E839C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подготовлена в соответствии с постановлением</w:t>
      </w:r>
      <w:r w:rsidR="003875D5" w:rsidRPr="003875D5">
        <w:rPr>
          <w:rFonts w:ascii="Times New Roman" w:hAnsi="Times New Roman" w:cs="Times New Roman"/>
          <w:sz w:val="28"/>
          <w:szCs w:val="28"/>
        </w:rPr>
        <w:t xml:space="preserve"> Правительства Ленинградской области от 28 февраля 2019 года № 84 «О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w:t>
      </w:r>
      <w:r>
        <w:rPr>
          <w:rFonts w:ascii="Times New Roman" w:hAnsi="Times New Roman" w:cs="Times New Roman"/>
          <w:sz w:val="28"/>
          <w:szCs w:val="28"/>
        </w:rPr>
        <w:t>.</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proofErr w:type="gramStart"/>
      <w:r w:rsidRPr="00B606A9">
        <w:rPr>
          <w:rFonts w:ascii="Times New Roman" w:hAnsi="Times New Roman" w:cs="Times New Roman"/>
          <w:sz w:val="27"/>
          <w:szCs w:val="27"/>
        </w:rPr>
        <w:t xml:space="preserve">Руководствуясь Картой </w:t>
      </w:r>
      <w:proofErr w:type="spellStart"/>
      <w:r w:rsidRPr="00B606A9">
        <w:rPr>
          <w:rFonts w:ascii="Times New Roman" w:hAnsi="Times New Roman" w:cs="Times New Roman"/>
          <w:sz w:val="27"/>
          <w:szCs w:val="27"/>
        </w:rPr>
        <w:t>комплаенс</w:t>
      </w:r>
      <w:proofErr w:type="spellEnd"/>
      <w:r w:rsidRPr="00B606A9">
        <w:rPr>
          <w:rFonts w:ascii="Times New Roman" w:hAnsi="Times New Roman" w:cs="Times New Roman"/>
          <w:sz w:val="27"/>
          <w:szCs w:val="27"/>
        </w:rPr>
        <w:t xml:space="preserve">-рисков в органах исполнительной власти Ленинградской области, утвержденной распоряжением комитета экономического развития и инвестиционной деятельности Ленинградской области от 04 декабря 2020 года № 213, в Комитете </w:t>
      </w:r>
      <w:r w:rsidR="00731233">
        <w:rPr>
          <w:rFonts w:ascii="Times New Roman" w:hAnsi="Times New Roman" w:cs="Times New Roman"/>
          <w:sz w:val="28"/>
          <w:szCs w:val="28"/>
        </w:rPr>
        <w:t>Ленинградской области по обращению с отходами (далее - Комитет)</w:t>
      </w:r>
      <w:r w:rsidR="00731233">
        <w:rPr>
          <w:rFonts w:ascii="Times New Roman" w:hAnsi="Times New Roman" w:cs="Times New Roman"/>
          <w:sz w:val="28"/>
          <w:szCs w:val="28"/>
        </w:rPr>
        <w:t xml:space="preserve"> </w:t>
      </w:r>
      <w:r w:rsidRPr="00B606A9">
        <w:rPr>
          <w:rFonts w:ascii="Times New Roman" w:hAnsi="Times New Roman" w:cs="Times New Roman"/>
          <w:sz w:val="27"/>
          <w:szCs w:val="27"/>
        </w:rPr>
        <w:t>в 2022 году проведены мероприятия, направленные на оценку возможных рисков нарушения антимонопольного законодательства и выявление имеющихся нарушений антимонопольного законодательства в деятельности Комитета, в частности реализованы</w:t>
      </w:r>
      <w:proofErr w:type="gramEnd"/>
      <w:r w:rsidRPr="00B606A9">
        <w:rPr>
          <w:rFonts w:ascii="Times New Roman" w:hAnsi="Times New Roman" w:cs="Times New Roman"/>
          <w:sz w:val="27"/>
          <w:szCs w:val="27"/>
        </w:rPr>
        <w:t xml:space="preserve"> следующие мероприятия: </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 осуществлен анализ проектов нормативных правовых актов, разработанных Комитетом, и действующих нормативных правовых актов Комитета на предмет соответствия требованиям антимонопольного законодательства; </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t>- проведен мониторинг и анализ практики применения Комитетом антимонопольного законодательства;</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 осуществлен мониторинг и контроль порядка подготовки ответов </w:t>
      </w:r>
      <w:r w:rsidRPr="00B606A9">
        <w:rPr>
          <w:rFonts w:ascii="Times New Roman" w:hAnsi="Times New Roman" w:cs="Times New Roman"/>
          <w:sz w:val="27"/>
          <w:szCs w:val="27"/>
        </w:rPr>
        <w:br/>
        <w:t>на обращения граждан и юридических лиц.</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По итогам указанных мероприятий уровень рисков нарушения Комитетом антимонопольного законодательства оценен как «низкий». </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Во исполнение мероприятий («дорожной карты») по снижению </w:t>
      </w:r>
      <w:proofErr w:type="spellStart"/>
      <w:r w:rsidRPr="00B606A9">
        <w:rPr>
          <w:rFonts w:ascii="Times New Roman" w:hAnsi="Times New Roman" w:cs="Times New Roman"/>
          <w:sz w:val="27"/>
          <w:szCs w:val="27"/>
        </w:rPr>
        <w:t>комплаенс</w:t>
      </w:r>
      <w:proofErr w:type="spellEnd"/>
      <w:r w:rsidRPr="00B606A9">
        <w:rPr>
          <w:rFonts w:ascii="Times New Roman" w:hAnsi="Times New Roman" w:cs="Times New Roman"/>
          <w:sz w:val="27"/>
          <w:szCs w:val="27"/>
        </w:rPr>
        <w:t>-рисков органов исполнительной власти Ленинградской области, утвержденных распоряжением Губернатора Ленинградской области от 09 января 2023 года № 6-рг (далее – Дорожная карта), Комитет сообщает следующее:</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Заключение контрактов осуществляется подведомственным Комитету Ленинградским областным государственным казенным учреждением «Центр Ленинградской области по организации деятельности по обращению с отходами» в строгом соответствии с требованиями Федерального закона от 05 апреля 2013 года </w:t>
      </w:r>
      <w:r w:rsidR="00731233">
        <w:rPr>
          <w:rFonts w:ascii="Times New Roman" w:hAnsi="Times New Roman" w:cs="Times New Roman"/>
          <w:sz w:val="27"/>
          <w:szCs w:val="27"/>
        </w:rPr>
        <w:br/>
      </w:r>
      <w:bookmarkStart w:id="0" w:name="_GoBack"/>
      <w:bookmarkEnd w:id="0"/>
      <w:r w:rsidRPr="00B606A9">
        <w:rPr>
          <w:rFonts w:ascii="Times New Roman" w:hAnsi="Times New Roman" w:cs="Times New Roman"/>
          <w:sz w:val="27"/>
          <w:szCs w:val="27"/>
        </w:rPr>
        <w:t xml:space="preserve">№ 44-ФЗ «О контрактной системе в сфере закупок товаров, работ, услуг для обеспечения государственных и муниципальных нужд». </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В документации о закупке требования к товарам, услугам, работам, а также </w:t>
      </w:r>
      <w:r w:rsidRPr="00B606A9">
        <w:rPr>
          <w:rFonts w:ascii="Times New Roman" w:hAnsi="Times New Roman" w:cs="Times New Roman"/>
          <w:sz w:val="27"/>
          <w:szCs w:val="27"/>
        </w:rPr>
        <w:br/>
        <w:t xml:space="preserve">к участникам торгов, направленные на создание преимущественных условий </w:t>
      </w:r>
      <w:r w:rsidRPr="00B606A9">
        <w:rPr>
          <w:rFonts w:ascii="Times New Roman" w:hAnsi="Times New Roman" w:cs="Times New Roman"/>
          <w:sz w:val="27"/>
          <w:szCs w:val="27"/>
        </w:rPr>
        <w:br/>
        <w:t xml:space="preserve">для конкретного хозяйствующего субъекта, не устанавливаются. </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В документации о закупке требования к описанию участником закупки конкретных показателей товаров, которые являются избыточными, не могут быть объективно проверены на момент поставки конкретного хозяйствующего субъекта, не устанавливаются.</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lastRenderedPageBreak/>
        <w:t>Нарушений требований положений действующего антимонопольног</w:t>
      </w:r>
      <w:r w:rsidR="00731233">
        <w:rPr>
          <w:rFonts w:ascii="Times New Roman" w:hAnsi="Times New Roman" w:cs="Times New Roman"/>
          <w:sz w:val="27"/>
          <w:szCs w:val="27"/>
        </w:rPr>
        <w:t xml:space="preserve">о </w:t>
      </w:r>
      <w:r w:rsidRPr="00B606A9">
        <w:rPr>
          <w:rFonts w:ascii="Times New Roman" w:hAnsi="Times New Roman" w:cs="Times New Roman"/>
          <w:sz w:val="27"/>
          <w:szCs w:val="27"/>
        </w:rPr>
        <w:t>законодательства не выявлено.</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t>Комитетом в 2022 году издано 16 приказов. Проекты нормативных правовых актов Комитета анализируются на предмет соответствия антимонопольному законодательству при проведении их правовой экспертизы. Нормативные правовые акты Комитета анализируются на предмет соответствия антимонопольному законодательству в процессе их применения.</w:t>
      </w:r>
    </w:p>
    <w:p w:rsidR="004C6E3C" w:rsidRPr="00B606A9" w:rsidRDefault="004C6E3C" w:rsidP="004C6E3C">
      <w:pPr>
        <w:pStyle w:val="a3"/>
        <w:spacing w:after="0" w:line="240" w:lineRule="auto"/>
        <w:ind w:left="0" w:firstLine="709"/>
        <w:jc w:val="both"/>
        <w:rPr>
          <w:rFonts w:ascii="Times New Roman" w:hAnsi="Times New Roman" w:cs="Times New Roman"/>
          <w:sz w:val="27"/>
          <w:szCs w:val="27"/>
        </w:rPr>
      </w:pPr>
      <w:r w:rsidRPr="00B606A9">
        <w:rPr>
          <w:rFonts w:ascii="Times New Roman" w:hAnsi="Times New Roman" w:cs="Times New Roman"/>
          <w:sz w:val="27"/>
          <w:szCs w:val="27"/>
        </w:rPr>
        <w:t>За отчетный период нарушений антимонопольного законодательства при принятии и реализации правовых актов Комитета не выявлено.</w:t>
      </w:r>
    </w:p>
    <w:p w:rsidR="004C6E3C" w:rsidRPr="00B606A9" w:rsidRDefault="004C6E3C" w:rsidP="004C6E3C">
      <w:pPr>
        <w:spacing w:after="0"/>
        <w:ind w:firstLine="708"/>
        <w:jc w:val="both"/>
        <w:rPr>
          <w:rFonts w:ascii="Times New Roman" w:hAnsi="Times New Roman" w:cs="Times New Roman"/>
          <w:sz w:val="27"/>
          <w:szCs w:val="27"/>
        </w:rPr>
      </w:pPr>
      <w:r w:rsidRPr="00B606A9">
        <w:rPr>
          <w:rFonts w:ascii="Times New Roman" w:hAnsi="Times New Roman" w:cs="Times New Roman"/>
          <w:sz w:val="27"/>
          <w:szCs w:val="27"/>
        </w:rPr>
        <w:t>При подготовке ответов на обращения граждан и юридических лиц сотрудниками Комитета соблюдались требования Федерального закона от 02 мая 2006 года № 59-ФЗ «О порядке рассмотрения обращений граждан Российской Федерации». Нарушений норм антимонопольного законодательства при подготовке ответов на обращения в отчетном периоде не выявлено.</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Также Комитетом принимаются меры к недопущению нарушений  антимонопольного законодательства при предоставлении субсидий, принятии решений о допуске претендентов к участию в конкурсном отборе. Информация </w:t>
      </w:r>
      <w:r w:rsidRPr="00B606A9">
        <w:rPr>
          <w:rFonts w:ascii="Times New Roman" w:hAnsi="Times New Roman" w:cs="Times New Roman"/>
          <w:sz w:val="27"/>
          <w:szCs w:val="27"/>
        </w:rPr>
        <w:br/>
        <w:t xml:space="preserve">об условиях предоставления субсидии, конкурсного отбора в обязательном порядке размещаются на сайте Комитета в информационно-телекоммуникационной сети Интернет, в установленном объеме и в срок. </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По результатам отбора для заключения соглашения о предоставлении субсидии Комитетом используются типовая форма такого соглашения, утвержденная Комитетом финансов Ленинградской области.  </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Комитетом на постоянной основе осуществляются мероприятия по снижению </w:t>
      </w:r>
      <w:proofErr w:type="spellStart"/>
      <w:r w:rsidRPr="00B606A9">
        <w:rPr>
          <w:rFonts w:ascii="Times New Roman" w:hAnsi="Times New Roman" w:cs="Times New Roman"/>
          <w:sz w:val="27"/>
          <w:szCs w:val="27"/>
        </w:rPr>
        <w:t>комплаенс</w:t>
      </w:r>
      <w:proofErr w:type="spellEnd"/>
      <w:r w:rsidRPr="00B606A9">
        <w:rPr>
          <w:rFonts w:ascii="Times New Roman" w:hAnsi="Times New Roman" w:cs="Times New Roman"/>
          <w:sz w:val="27"/>
          <w:szCs w:val="27"/>
        </w:rPr>
        <w:t>-рисков. В ходе проведения мероприятий, направленных на снижение рисков нарушения антимонопольного законодательства, фактов нарушения Комитетом антимонопольного законодательства не выявлено.</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 xml:space="preserve">Ключевыми показателями эффективности функционирования антимонопольного </w:t>
      </w:r>
      <w:proofErr w:type="spellStart"/>
      <w:r w:rsidRPr="00B606A9">
        <w:rPr>
          <w:rFonts w:ascii="Times New Roman" w:hAnsi="Times New Roman" w:cs="Times New Roman"/>
          <w:sz w:val="27"/>
          <w:szCs w:val="27"/>
        </w:rPr>
        <w:t>комплаенса</w:t>
      </w:r>
      <w:proofErr w:type="spellEnd"/>
      <w:r w:rsidRPr="00B606A9">
        <w:rPr>
          <w:rFonts w:ascii="Times New Roman" w:hAnsi="Times New Roman" w:cs="Times New Roman"/>
          <w:sz w:val="27"/>
          <w:szCs w:val="27"/>
        </w:rPr>
        <w:t xml:space="preserve"> в Комитете являются:</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коэффициент снижения количества нарушений антимонопольного законодательства Комитетом;</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доля проектов нормативных правовых актов, разработанных Комитетом, в которых выявлены риски нарушения антимонопольного законодательства;</w:t>
      </w:r>
    </w:p>
    <w:p w:rsidR="004C6E3C" w:rsidRPr="00B606A9" w:rsidRDefault="004C6E3C" w:rsidP="004C6E3C">
      <w:pPr>
        <w:spacing w:after="0"/>
        <w:ind w:firstLine="709"/>
        <w:jc w:val="both"/>
        <w:rPr>
          <w:rFonts w:ascii="Times New Roman" w:hAnsi="Times New Roman" w:cs="Times New Roman"/>
          <w:sz w:val="27"/>
          <w:szCs w:val="27"/>
        </w:rPr>
      </w:pPr>
      <w:r w:rsidRPr="00B606A9">
        <w:rPr>
          <w:rFonts w:ascii="Times New Roman" w:hAnsi="Times New Roman" w:cs="Times New Roman"/>
          <w:sz w:val="27"/>
          <w:szCs w:val="27"/>
        </w:rPr>
        <w:t>доля нормативных правовых актов Комитета, в которых выявлены риски нарушения антимонопольного законодательства.</w:t>
      </w:r>
    </w:p>
    <w:p w:rsidR="0005384D" w:rsidRPr="00035A34" w:rsidRDefault="004C6E3C" w:rsidP="004C6E3C">
      <w:pPr>
        <w:spacing w:after="0" w:line="240" w:lineRule="auto"/>
        <w:ind w:firstLine="709"/>
        <w:jc w:val="both"/>
        <w:rPr>
          <w:rFonts w:ascii="Times New Roman" w:hAnsi="Times New Roman" w:cs="Times New Roman"/>
          <w:sz w:val="28"/>
          <w:szCs w:val="28"/>
        </w:rPr>
      </w:pPr>
      <w:r w:rsidRPr="00B606A9">
        <w:rPr>
          <w:rFonts w:ascii="Times New Roman" w:hAnsi="Times New Roman" w:cs="Times New Roman"/>
          <w:sz w:val="27"/>
          <w:szCs w:val="27"/>
        </w:rPr>
        <w:t xml:space="preserve">В связи с тем, что за 2022 год нарушения антимонопольного законодательства со стороны Комитета не выявлены, ключевые показатели эффективности антимонопольного </w:t>
      </w:r>
      <w:proofErr w:type="spellStart"/>
      <w:r w:rsidRPr="00B606A9">
        <w:rPr>
          <w:rFonts w:ascii="Times New Roman" w:hAnsi="Times New Roman" w:cs="Times New Roman"/>
          <w:sz w:val="27"/>
          <w:szCs w:val="27"/>
        </w:rPr>
        <w:t>комплаенса</w:t>
      </w:r>
      <w:proofErr w:type="spellEnd"/>
      <w:r w:rsidRPr="00B606A9">
        <w:rPr>
          <w:rFonts w:ascii="Times New Roman" w:hAnsi="Times New Roman" w:cs="Times New Roman"/>
          <w:sz w:val="27"/>
          <w:szCs w:val="27"/>
        </w:rPr>
        <w:t xml:space="preserve"> достигнуты.</w:t>
      </w:r>
    </w:p>
    <w:sectPr w:rsidR="0005384D" w:rsidRPr="00035A34" w:rsidSect="00FA76AA">
      <w:pgSz w:w="11906" w:h="16838"/>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AB4"/>
    <w:multiLevelType w:val="hybridMultilevel"/>
    <w:tmpl w:val="C02CDA02"/>
    <w:lvl w:ilvl="0" w:tplc="4BC087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1D0F31"/>
    <w:multiLevelType w:val="multilevel"/>
    <w:tmpl w:val="B25616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AB"/>
    <w:rsid w:val="00010242"/>
    <w:rsid w:val="0005384D"/>
    <w:rsid w:val="000A37E6"/>
    <w:rsid w:val="00103DD9"/>
    <w:rsid w:val="001B588B"/>
    <w:rsid w:val="00292530"/>
    <w:rsid w:val="00367E34"/>
    <w:rsid w:val="003875D5"/>
    <w:rsid w:val="00423999"/>
    <w:rsid w:val="004C6E3C"/>
    <w:rsid w:val="0051474A"/>
    <w:rsid w:val="005731F0"/>
    <w:rsid w:val="00670674"/>
    <w:rsid w:val="006F671A"/>
    <w:rsid w:val="00711927"/>
    <w:rsid w:val="00731233"/>
    <w:rsid w:val="007833BD"/>
    <w:rsid w:val="007A1357"/>
    <w:rsid w:val="00921F9D"/>
    <w:rsid w:val="00966190"/>
    <w:rsid w:val="00A014CF"/>
    <w:rsid w:val="00C92705"/>
    <w:rsid w:val="00CF7D11"/>
    <w:rsid w:val="00DB003B"/>
    <w:rsid w:val="00DB3B5F"/>
    <w:rsid w:val="00E839C0"/>
    <w:rsid w:val="00EB08AB"/>
    <w:rsid w:val="00EC587F"/>
    <w:rsid w:val="00F76AB1"/>
    <w:rsid w:val="00FA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602">
      <w:bodyDiv w:val="1"/>
      <w:marLeft w:val="0"/>
      <w:marRight w:val="0"/>
      <w:marTop w:val="0"/>
      <w:marBottom w:val="0"/>
      <w:divBdr>
        <w:top w:val="none" w:sz="0" w:space="0" w:color="auto"/>
        <w:left w:val="none" w:sz="0" w:space="0" w:color="auto"/>
        <w:bottom w:val="none" w:sz="0" w:space="0" w:color="auto"/>
        <w:right w:val="none" w:sz="0" w:space="0" w:color="auto"/>
      </w:divBdr>
    </w:div>
    <w:div w:id="579679088">
      <w:bodyDiv w:val="1"/>
      <w:marLeft w:val="0"/>
      <w:marRight w:val="0"/>
      <w:marTop w:val="0"/>
      <w:marBottom w:val="0"/>
      <w:divBdr>
        <w:top w:val="none" w:sz="0" w:space="0" w:color="auto"/>
        <w:left w:val="none" w:sz="0" w:space="0" w:color="auto"/>
        <w:bottom w:val="none" w:sz="0" w:space="0" w:color="auto"/>
        <w:right w:val="none" w:sz="0" w:space="0" w:color="auto"/>
      </w:divBdr>
    </w:div>
    <w:div w:id="748695212">
      <w:bodyDiv w:val="1"/>
      <w:marLeft w:val="0"/>
      <w:marRight w:val="0"/>
      <w:marTop w:val="0"/>
      <w:marBottom w:val="0"/>
      <w:divBdr>
        <w:top w:val="none" w:sz="0" w:space="0" w:color="auto"/>
        <w:left w:val="none" w:sz="0" w:space="0" w:color="auto"/>
        <w:bottom w:val="none" w:sz="0" w:space="0" w:color="auto"/>
        <w:right w:val="none" w:sz="0" w:space="0" w:color="auto"/>
      </w:divBdr>
    </w:div>
    <w:div w:id="1293095086">
      <w:bodyDiv w:val="1"/>
      <w:marLeft w:val="0"/>
      <w:marRight w:val="0"/>
      <w:marTop w:val="0"/>
      <w:marBottom w:val="0"/>
      <w:divBdr>
        <w:top w:val="none" w:sz="0" w:space="0" w:color="auto"/>
        <w:left w:val="none" w:sz="0" w:space="0" w:color="auto"/>
        <w:bottom w:val="none" w:sz="0" w:space="0" w:color="auto"/>
        <w:right w:val="none" w:sz="0" w:space="0" w:color="auto"/>
      </w:divBdr>
    </w:div>
    <w:div w:id="13519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11A8-99DE-416F-8C14-83F2DCEC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обращению с отходами</dc:creator>
  <cp:lastModifiedBy>Дмитрий Алексеевич Прусаков</cp:lastModifiedBy>
  <cp:revision>2</cp:revision>
  <cp:lastPrinted>2022-03-23T13:58:00Z</cp:lastPrinted>
  <dcterms:created xsi:type="dcterms:W3CDTF">2023-03-27T12:03:00Z</dcterms:created>
  <dcterms:modified xsi:type="dcterms:W3CDTF">2023-03-27T12:03:00Z</dcterms:modified>
</cp:coreProperties>
</file>