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AB" w:rsidRPr="00E839C0" w:rsidRDefault="00292530" w:rsidP="00E83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Pr="00292530">
        <w:rPr>
          <w:rFonts w:ascii="Times New Roman" w:hAnsi="Times New Roman" w:cs="Times New Roman"/>
          <w:b/>
          <w:sz w:val="28"/>
          <w:szCs w:val="28"/>
        </w:rPr>
        <w:t xml:space="preserve"> об организации в Комитете </w:t>
      </w:r>
      <w:r w:rsidRPr="00E839C0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839C0">
        <w:rPr>
          <w:rFonts w:ascii="Times New Roman" w:hAnsi="Times New Roman" w:cs="Times New Roman"/>
          <w:b/>
          <w:sz w:val="28"/>
          <w:szCs w:val="28"/>
        </w:rPr>
        <w:t>обращению с отходами</w:t>
      </w:r>
      <w:r w:rsidRPr="00292530">
        <w:rPr>
          <w:rFonts w:ascii="Times New Roman" w:hAnsi="Times New Roman" w:cs="Times New Roman"/>
          <w:b/>
          <w:sz w:val="28"/>
          <w:szCs w:val="28"/>
        </w:rPr>
        <w:t xml:space="preserve"> ан</w:t>
      </w:r>
      <w:r>
        <w:rPr>
          <w:rFonts w:ascii="Times New Roman" w:hAnsi="Times New Roman" w:cs="Times New Roman"/>
          <w:b/>
          <w:sz w:val="28"/>
          <w:szCs w:val="28"/>
        </w:rPr>
        <w:t xml:space="preserve">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его </w:t>
      </w:r>
      <w:r w:rsidRPr="00292530">
        <w:rPr>
          <w:rFonts w:ascii="Times New Roman" w:hAnsi="Times New Roman" w:cs="Times New Roman"/>
          <w:b/>
          <w:sz w:val="28"/>
          <w:szCs w:val="28"/>
        </w:rPr>
        <w:t>функционирования за период 2021 года</w:t>
      </w:r>
    </w:p>
    <w:p w:rsidR="00EB08AB" w:rsidRDefault="00EB08AB" w:rsidP="00FA76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75D5" w:rsidRDefault="00EB08AB" w:rsidP="00E83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D5">
        <w:rPr>
          <w:rFonts w:ascii="Times New Roman" w:hAnsi="Times New Roman" w:cs="Times New Roman"/>
          <w:sz w:val="28"/>
          <w:szCs w:val="28"/>
        </w:rPr>
        <w:t>Во исполнение</w:t>
      </w:r>
      <w:r w:rsidR="003875D5" w:rsidRPr="003875D5">
        <w:rPr>
          <w:rFonts w:ascii="Times New Roman" w:hAnsi="Times New Roman" w:cs="Times New Roman"/>
          <w:sz w:val="28"/>
          <w:szCs w:val="28"/>
        </w:rPr>
        <w:t xml:space="preserve"> </w:t>
      </w:r>
      <w:r w:rsidR="003875D5" w:rsidRPr="003875D5">
        <w:rPr>
          <w:rFonts w:ascii="Times New Roman" w:hAnsi="Times New Roman" w:cs="Times New Roman"/>
          <w:sz w:val="28"/>
          <w:szCs w:val="28"/>
        </w:rPr>
        <w:t>постановлени</w:t>
      </w:r>
      <w:r w:rsidR="003875D5" w:rsidRPr="003875D5">
        <w:rPr>
          <w:rFonts w:ascii="Times New Roman" w:hAnsi="Times New Roman" w:cs="Times New Roman"/>
          <w:sz w:val="28"/>
          <w:szCs w:val="28"/>
        </w:rPr>
        <w:t>я</w:t>
      </w:r>
      <w:r w:rsidR="003875D5" w:rsidRPr="003875D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3875D5" w:rsidRPr="003875D5">
        <w:rPr>
          <w:rFonts w:ascii="Times New Roman" w:hAnsi="Times New Roman" w:cs="Times New Roman"/>
          <w:sz w:val="28"/>
          <w:szCs w:val="28"/>
        </w:rPr>
        <w:br/>
        <w:t>от 28 февраля 2019 года № 84</w:t>
      </w:r>
      <w:r w:rsidR="003875D5" w:rsidRPr="003875D5">
        <w:rPr>
          <w:rFonts w:ascii="Times New Roman" w:hAnsi="Times New Roman" w:cs="Times New Roman"/>
          <w:sz w:val="28"/>
          <w:szCs w:val="28"/>
        </w:rPr>
        <w:t xml:space="preserve">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</w:t>
      </w:r>
      <w:r w:rsidR="003875D5">
        <w:rPr>
          <w:rFonts w:ascii="Times New Roman" w:hAnsi="Times New Roman" w:cs="Times New Roman"/>
          <w:sz w:val="28"/>
          <w:szCs w:val="28"/>
        </w:rPr>
        <w:t xml:space="preserve">, распоряжения Губернатора Ленинградской области от 30 декабря 2020 года № 1080-рг «Об утверждении плана мероприятий «дорожной карты» по снижению </w:t>
      </w:r>
      <w:proofErr w:type="spellStart"/>
      <w:r w:rsidR="003875D5">
        <w:rPr>
          <w:rFonts w:ascii="Times New Roman" w:hAnsi="Times New Roman" w:cs="Times New Roman"/>
          <w:sz w:val="28"/>
          <w:szCs w:val="28"/>
        </w:rPr>
        <w:t>комплайнс</w:t>
      </w:r>
      <w:proofErr w:type="spellEnd"/>
      <w:r w:rsidR="003875D5"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 на 2021 года» Комитетом Ленинградской области по</w:t>
      </w:r>
      <w:proofErr w:type="gramEnd"/>
      <w:r w:rsidR="003875D5">
        <w:rPr>
          <w:rFonts w:ascii="Times New Roman" w:hAnsi="Times New Roman" w:cs="Times New Roman"/>
          <w:sz w:val="28"/>
          <w:szCs w:val="28"/>
        </w:rPr>
        <w:t xml:space="preserve"> обращению с отходами (далее - Комитет)</w:t>
      </w:r>
      <w:r w:rsidR="007A1357">
        <w:rPr>
          <w:rFonts w:ascii="Times New Roman" w:hAnsi="Times New Roman" w:cs="Times New Roman"/>
          <w:sz w:val="28"/>
          <w:szCs w:val="28"/>
        </w:rPr>
        <w:t xml:space="preserve"> подготовлен доклад</w:t>
      </w:r>
      <w:r w:rsidR="003875D5">
        <w:rPr>
          <w:rFonts w:ascii="Times New Roman" w:hAnsi="Times New Roman" w:cs="Times New Roman"/>
          <w:sz w:val="28"/>
          <w:szCs w:val="28"/>
        </w:rPr>
        <w:t xml:space="preserve"> об организации в Комитете антимонопольного </w:t>
      </w:r>
      <w:proofErr w:type="spellStart"/>
      <w:r w:rsidR="00387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3875D5">
        <w:rPr>
          <w:rFonts w:ascii="Times New Roman" w:hAnsi="Times New Roman" w:cs="Times New Roman"/>
          <w:sz w:val="28"/>
          <w:szCs w:val="28"/>
        </w:rPr>
        <w:t xml:space="preserve"> и его функционирования за период 2021 года.  </w:t>
      </w:r>
      <w:r w:rsidR="003875D5" w:rsidRPr="00387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30" w:rsidRDefault="00292530" w:rsidP="00E83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8B" w:rsidRPr="001B588B" w:rsidRDefault="00292530" w:rsidP="001B5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588B">
        <w:rPr>
          <w:rFonts w:ascii="Times New Roman" w:hAnsi="Times New Roman" w:cs="Times New Roman"/>
          <w:sz w:val="28"/>
          <w:szCs w:val="28"/>
        </w:rPr>
        <w:t>Руководствуясь К</w:t>
      </w:r>
      <w:r w:rsidR="001B588B" w:rsidRPr="001B588B">
        <w:rPr>
          <w:rFonts w:ascii="Times New Roman" w:hAnsi="Times New Roman" w:cs="Times New Roman"/>
          <w:sz w:val="28"/>
          <w:szCs w:val="28"/>
        </w:rPr>
        <w:t xml:space="preserve">артой </w:t>
      </w:r>
      <w:proofErr w:type="spellStart"/>
      <w:r w:rsidR="001B588B" w:rsidRPr="001B588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B588B" w:rsidRPr="001B588B">
        <w:rPr>
          <w:rFonts w:ascii="Times New Roman" w:hAnsi="Times New Roman" w:cs="Times New Roman"/>
          <w:sz w:val="28"/>
          <w:szCs w:val="28"/>
        </w:rPr>
        <w:t>-рисков в органах исполнительной власти Ленинградской облас</w:t>
      </w:r>
      <w:r w:rsidR="007A1357">
        <w:rPr>
          <w:rFonts w:ascii="Times New Roman" w:hAnsi="Times New Roman" w:cs="Times New Roman"/>
          <w:sz w:val="28"/>
          <w:szCs w:val="28"/>
        </w:rPr>
        <w:t>ти, утвержденной распоряжением К</w:t>
      </w:r>
      <w:r w:rsidR="001B588B" w:rsidRPr="001B588B">
        <w:rPr>
          <w:rFonts w:ascii="Times New Roman" w:hAnsi="Times New Roman" w:cs="Times New Roman"/>
          <w:sz w:val="28"/>
          <w:szCs w:val="28"/>
        </w:rPr>
        <w:t xml:space="preserve">омитета экономического развития и инвестиционной деятельности Ленинградской области </w:t>
      </w:r>
      <w:r w:rsidR="001B588B">
        <w:rPr>
          <w:rFonts w:ascii="Times New Roman" w:hAnsi="Times New Roman" w:cs="Times New Roman"/>
          <w:sz w:val="28"/>
          <w:szCs w:val="28"/>
        </w:rPr>
        <w:t xml:space="preserve">от 04 декабря </w:t>
      </w:r>
      <w:r w:rsidR="001B588B" w:rsidRPr="001B588B">
        <w:rPr>
          <w:rFonts w:ascii="Times New Roman" w:hAnsi="Times New Roman" w:cs="Times New Roman"/>
          <w:sz w:val="28"/>
          <w:szCs w:val="28"/>
        </w:rPr>
        <w:t>2020</w:t>
      </w:r>
      <w:r w:rsidR="001B58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588B" w:rsidRPr="001B588B">
        <w:rPr>
          <w:rFonts w:ascii="Times New Roman" w:hAnsi="Times New Roman" w:cs="Times New Roman"/>
          <w:sz w:val="28"/>
          <w:szCs w:val="28"/>
        </w:rPr>
        <w:t xml:space="preserve">№ 213, в Комитете в 2021 году проведены мероприятия, направленные на оценку возможных рисков нарушения антимонопольного законодательства и выявление имеющихся нарушений антимонопольного законодательства в деятельности Комитета, в частности реализованы следующие мероприятия: </w:t>
      </w:r>
      <w:proofErr w:type="gramEnd"/>
    </w:p>
    <w:p w:rsidR="001B588B" w:rsidRPr="001B588B" w:rsidRDefault="001B588B" w:rsidP="001B5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8B">
        <w:rPr>
          <w:rFonts w:ascii="Times New Roman" w:hAnsi="Times New Roman" w:cs="Times New Roman"/>
          <w:sz w:val="28"/>
          <w:szCs w:val="28"/>
        </w:rPr>
        <w:t>- осуществлен анализ проектов нормативных правовых актов, разработанных Комитетом</w:t>
      </w:r>
      <w:r w:rsidR="007A1357">
        <w:rPr>
          <w:rFonts w:ascii="Times New Roman" w:hAnsi="Times New Roman" w:cs="Times New Roman"/>
          <w:sz w:val="28"/>
          <w:szCs w:val="28"/>
        </w:rPr>
        <w:t>,</w:t>
      </w:r>
      <w:r w:rsidRPr="001B588B">
        <w:rPr>
          <w:rFonts w:ascii="Times New Roman" w:hAnsi="Times New Roman" w:cs="Times New Roman"/>
          <w:sz w:val="28"/>
          <w:szCs w:val="28"/>
        </w:rPr>
        <w:t xml:space="preserve"> и действующих нормативных правовых актов Комитета на предмет соответствия требованиям антимонопольного законодательства; </w:t>
      </w:r>
    </w:p>
    <w:p w:rsidR="001B588B" w:rsidRPr="001B588B" w:rsidRDefault="001B588B" w:rsidP="001B5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8B">
        <w:rPr>
          <w:rFonts w:ascii="Times New Roman" w:hAnsi="Times New Roman" w:cs="Times New Roman"/>
          <w:sz w:val="28"/>
          <w:szCs w:val="28"/>
        </w:rPr>
        <w:t>- проведен мониторинг и анализ практики применения Комитетом антимонопольного законодательства;</w:t>
      </w:r>
    </w:p>
    <w:p w:rsidR="001B588B" w:rsidRPr="001B588B" w:rsidRDefault="001B588B" w:rsidP="00292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8B">
        <w:rPr>
          <w:rFonts w:ascii="Times New Roman" w:hAnsi="Times New Roman" w:cs="Times New Roman"/>
          <w:sz w:val="28"/>
          <w:szCs w:val="28"/>
        </w:rPr>
        <w:t xml:space="preserve">- осуществлен мониторинг и контроль порядка подготовки ответов </w:t>
      </w:r>
      <w:r w:rsidRPr="001B588B">
        <w:rPr>
          <w:rFonts w:ascii="Times New Roman" w:hAnsi="Times New Roman" w:cs="Times New Roman"/>
          <w:sz w:val="28"/>
          <w:szCs w:val="28"/>
        </w:rPr>
        <w:br/>
        <w:t>на обра</w:t>
      </w:r>
      <w:r>
        <w:rPr>
          <w:rFonts w:ascii="Times New Roman" w:hAnsi="Times New Roman" w:cs="Times New Roman"/>
          <w:sz w:val="28"/>
          <w:szCs w:val="28"/>
        </w:rPr>
        <w:t>щения граждан и юридических лиц</w:t>
      </w:r>
      <w:r w:rsidR="00292530">
        <w:rPr>
          <w:rFonts w:ascii="Times New Roman" w:hAnsi="Times New Roman" w:cs="Times New Roman"/>
          <w:sz w:val="28"/>
          <w:szCs w:val="28"/>
        </w:rPr>
        <w:t>.</w:t>
      </w:r>
    </w:p>
    <w:p w:rsidR="001B588B" w:rsidRPr="001B588B" w:rsidRDefault="001B588B" w:rsidP="001B58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8B">
        <w:rPr>
          <w:rFonts w:ascii="Times New Roman" w:hAnsi="Times New Roman" w:cs="Times New Roman"/>
          <w:sz w:val="28"/>
          <w:szCs w:val="28"/>
        </w:rPr>
        <w:t xml:space="preserve">По итогам указанных мероприятий </w:t>
      </w:r>
      <w:r w:rsidR="00292530">
        <w:rPr>
          <w:rFonts w:ascii="Times New Roman" w:hAnsi="Times New Roman" w:cs="Times New Roman"/>
          <w:sz w:val="28"/>
          <w:szCs w:val="28"/>
        </w:rPr>
        <w:t>у</w:t>
      </w:r>
      <w:r w:rsidRPr="001B588B">
        <w:rPr>
          <w:rFonts w:ascii="Times New Roman" w:hAnsi="Times New Roman" w:cs="Times New Roman"/>
          <w:sz w:val="28"/>
          <w:szCs w:val="28"/>
        </w:rPr>
        <w:t xml:space="preserve">ровень рисков нарушения Комитетом антимонопольного законодательства оценен как «низкий». </w:t>
      </w:r>
    </w:p>
    <w:p w:rsidR="007A1357" w:rsidRDefault="007A1357" w:rsidP="0067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674" w:rsidRDefault="007A1357" w:rsidP="0067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674" w:rsidRPr="00670674">
        <w:rPr>
          <w:rFonts w:ascii="Times New Roman" w:hAnsi="Times New Roman" w:cs="Times New Roman"/>
          <w:sz w:val="28"/>
          <w:szCs w:val="28"/>
        </w:rPr>
        <w:t>Во</w:t>
      </w:r>
      <w:r w:rsidR="00670674" w:rsidRPr="0067067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70674" w:rsidRPr="00670674">
        <w:rPr>
          <w:rFonts w:ascii="Times New Roman" w:hAnsi="Times New Roman" w:cs="Times New Roman"/>
          <w:sz w:val="28"/>
          <w:szCs w:val="28"/>
        </w:rPr>
        <w:t>е</w:t>
      </w:r>
      <w:r w:rsidR="00670674" w:rsidRPr="00670674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снижению</w:t>
      </w:r>
      <w:r w:rsidR="00670674" w:rsidRPr="0067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674" w:rsidRPr="0067067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70674" w:rsidRPr="00670674">
        <w:rPr>
          <w:rFonts w:ascii="Times New Roman" w:hAnsi="Times New Roman" w:cs="Times New Roman"/>
          <w:sz w:val="28"/>
          <w:szCs w:val="28"/>
        </w:rPr>
        <w:t>-рисков органов исполнительной власт</w:t>
      </w:r>
      <w:r w:rsidR="00670674" w:rsidRPr="00670674">
        <w:rPr>
          <w:rFonts w:ascii="Times New Roman" w:hAnsi="Times New Roman" w:cs="Times New Roman"/>
          <w:sz w:val="28"/>
          <w:szCs w:val="28"/>
        </w:rPr>
        <w:t xml:space="preserve">и Ленинградской области на 2021 </w:t>
      </w:r>
      <w:r w:rsidR="00670674" w:rsidRPr="00670674">
        <w:rPr>
          <w:rFonts w:ascii="Times New Roman" w:hAnsi="Times New Roman" w:cs="Times New Roman"/>
          <w:sz w:val="28"/>
          <w:szCs w:val="28"/>
        </w:rPr>
        <w:t>год, утвержденных распоряжением Губернатора Ленинградской области</w:t>
      </w:r>
      <w:r w:rsidR="00670674" w:rsidRPr="00670674">
        <w:rPr>
          <w:rFonts w:ascii="Times New Roman" w:hAnsi="Times New Roman" w:cs="Times New Roman"/>
          <w:sz w:val="28"/>
          <w:szCs w:val="28"/>
        </w:rPr>
        <w:t xml:space="preserve"> </w:t>
      </w:r>
      <w:r w:rsidR="00670674" w:rsidRPr="00670674">
        <w:rPr>
          <w:rFonts w:ascii="Times New Roman" w:hAnsi="Times New Roman" w:cs="Times New Roman"/>
          <w:sz w:val="28"/>
          <w:szCs w:val="28"/>
        </w:rPr>
        <w:t>от 30 декабря 2020 года № 1080-рг</w:t>
      </w:r>
      <w:r w:rsidR="00670674">
        <w:rPr>
          <w:rFonts w:ascii="Times New Roman" w:hAnsi="Times New Roman" w:cs="Times New Roman"/>
          <w:sz w:val="28"/>
          <w:szCs w:val="28"/>
        </w:rPr>
        <w:t xml:space="preserve"> (далее – Дорожная карта)</w:t>
      </w:r>
      <w:r w:rsidR="00670674" w:rsidRPr="00670674">
        <w:rPr>
          <w:rFonts w:ascii="Times New Roman" w:hAnsi="Times New Roman" w:cs="Times New Roman"/>
          <w:sz w:val="28"/>
          <w:szCs w:val="28"/>
        </w:rPr>
        <w:t xml:space="preserve">, </w:t>
      </w:r>
      <w:r w:rsidR="00670674" w:rsidRPr="00670674">
        <w:rPr>
          <w:rFonts w:ascii="Times New Roman" w:hAnsi="Times New Roman" w:cs="Times New Roman"/>
          <w:sz w:val="28"/>
          <w:szCs w:val="28"/>
        </w:rPr>
        <w:t>Комитет сообщает следующее:</w:t>
      </w:r>
    </w:p>
    <w:p w:rsidR="001B588B" w:rsidRDefault="00670674" w:rsidP="0067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1 Дорожной карты: </w:t>
      </w:r>
    </w:p>
    <w:p w:rsidR="00670674" w:rsidRDefault="001B588B" w:rsidP="0067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0674" w:rsidRPr="00423999">
        <w:rPr>
          <w:rFonts w:ascii="Times New Roman" w:hAnsi="Times New Roman" w:cs="Times New Roman"/>
          <w:sz w:val="28"/>
          <w:szCs w:val="28"/>
        </w:rPr>
        <w:t>аключение контрактов о</w:t>
      </w:r>
      <w:r w:rsidR="00670674">
        <w:rPr>
          <w:rFonts w:ascii="Times New Roman" w:hAnsi="Times New Roman" w:cs="Times New Roman"/>
          <w:sz w:val="28"/>
          <w:szCs w:val="28"/>
        </w:rPr>
        <w:t>существляется подведомственным К</w:t>
      </w:r>
      <w:r w:rsidR="00670674" w:rsidRPr="00423999">
        <w:rPr>
          <w:rFonts w:ascii="Times New Roman" w:hAnsi="Times New Roman" w:cs="Times New Roman"/>
          <w:sz w:val="28"/>
          <w:szCs w:val="28"/>
        </w:rPr>
        <w:t>омитету Ленинградским областным государственным казенным учреждением «Центр Ленинградской области по организации деятельности по обращению с от</w:t>
      </w:r>
      <w:r w:rsidR="00670674">
        <w:rPr>
          <w:rFonts w:ascii="Times New Roman" w:hAnsi="Times New Roman" w:cs="Times New Roman"/>
          <w:sz w:val="28"/>
          <w:szCs w:val="28"/>
        </w:rPr>
        <w:t xml:space="preserve">ходами» в строгом соответствии </w:t>
      </w:r>
      <w:r w:rsidR="00670674" w:rsidRPr="00423999">
        <w:rPr>
          <w:rFonts w:ascii="Times New Roman" w:hAnsi="Times New Roman" w:cs="Times New Roman"/>
          <w:sz w:val="28"/>
          <w:szCs w:val="28"/>
        </w:rPr>
        <w:t>с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 закона от 05 апреля </w:t>
      </w:r>
      <w:r w:rsidR="00670674" w:rsidRPr="0042399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674" w:rsidRPr="00423999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670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674" w:rsidRDefault="00670674" w:rsidP="0067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3999">
        <w:rPr>
          <w:rFonts w:ascii="Times New Roman" w:hAnsi="Times New Roman" w:cs="Times New Roman"/>
          <w:sz w:val="28"/>
          <w:szCs w:val="28"/>
        </w:rPr>
        <w:t xml:space="preserve"> документации о закупке требования к товарам, услугам, работам,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423999">
        <w:rPr>
          <w:rFonts w:ascii="Times New Roman" w:hAnsi="Times New Roman" w:cs="Times New Roman"/>
          <w:sz w:val="28"/>
          <w:szCs w:val="28"/>
        </w:rPr>
        <w:t xml:space="preserve">к участникам торгов, направленные на создание преимущественных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23999">
        <w:rPr>
          <w:rFonts w:ascii="Times New Roman" w:hAnsi="Times New Roman" w:cs="Times New Roman"/>
          <w:sz w:val="28"/>
          <w:szCs w:val="28"/>
        </w:rPr>
        <w:t>для конкретного хозяйствующе</w:t>
      </w:r>
      <w:r>
        <w:rPr>
          <w:rFonts w:ascii="Times New Roman" w:hAnsi="Times New Roman" w:cs="Times New Roman"/>
          <w:sz w:val="28"/>
          <w:szCs w:val="28"/>
        </w:rPr>
        <w:t xml:space="preserve">го субъекта, не устанавливаются. </w:t>
      </w:r>
    </w:p>
    <w:p w:rsidR="00670674" w:rsidRDefault="00670674" w:rsidP="0067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23999">
        <w:rPr>
          <w:rFonts w:ascii="Times New Roman" w:hAnsi="Times New Roman" w:cs="Times New Roman"/>
          <w:sz w:val="28"/>
          <w:szCs w:val="28"/>
        </w:rPr>
        <w:t xml:space="preserve"> документации о закупке требования к описанию участником закупки конкретных показателей товаров, которые являются избыточными, не могут быть объективно проверены на момент поставки конкретного хозяйствующего субъекта, не устанавливаются.</w:t>
      </w:r>
    </w:p>
    <w:p w:rsidR="00670674" w:rsidRDefault="00670674" w:rsidP="0067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74">
        <w:rPr>
          <w:rFonts w:ascii="Times New Roman" w:hAnsi="Times New Roman" w:cs="Times New Roman"/>
          <w:sz w:val="28"/>
          <w:szCs w:val="28"/>
        </w:rPr>
        <w:t>Нарушений требований положений д</w:t>
      </w:r>
      <w:r>
        <w:rPr>
          <w:rFonts w:ascii="Times New Roman" w:hAnsi="Times New Roman" w:cs="Times New Roman"/>
          <w:sz w:val="28"/>
          <w:szCs w:val="28"/>
        </w:rPr>
        <w:t>ействующего</w:t>
      </w:r>
      <w:r w:rsidR="007A1357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не </w:t>
      </w:r>
      <w:r w:rsidRPr="00670674">
        <w:rPr>
          <w:rFonts w:ascii="Times New Roman" w:hAnsi="Times New Roman" w:cs="Times New Roman"/>
          <w:sz w:val="28"/>
          <w:szCs w:val="28"/>
        </w:rPr>
        <w:t>выявлено.</w:t>
      </w:r>
    </w:p>
    <w:p w:rsidR="0005384D" w:rsidRDefault="00670674" w:rsidP="006706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2 Дорожной карты: </w:t>
      </w:r>
    </w:p>
    <w:p w:rsidR="0005384D" w:rsidRDefault="0005384D" w:rsidP="00053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в 2021 году издано 19 приказов.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Pr="00EB08AB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 на предмет соответствия антимонопольному законодательству при проведении их правовой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4023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023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02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4023">
        <w:rPr>
          <w:rFonts w:ascii="Times New Roman" w:hAnsi="Times New Roman" w:cs="Times New Roman"/>
          <w:sz w:val="28"/>
          <w:szCs w:val="28"/>
        </w:rPr>
        <w:t xml:space="preserve"> </w:t>
      </w:r>
      <w:r w:rsidRPr="00EB08AB">
        <w:rPr>
          <w:rFonts w:ascii="Times New Roman" w:hAnsi="Times New Roman" w:cs="Times New Roman"/>
          <w:sz w:val="28"/>
          <w:szCs w:val="28"/>
        </w:rPr>
        <w:t>Комитета</w:t>
      </w:r>
      <w:r w:rsidRPr="00004023">
        <w:rPr>
          <w:rFonts w:ascii="Times New Roman" w:hAnsi="Times New Roman" w:cs="Times New Roman"/>
          <w:sz w:val="28"/>
          <w:szCs w:val="28"/>
        </w:rPr>
        <w:t xml:space="preserve"> анализируются на предмет соответствия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в процессе их применения.</w:t>
      </w:r>
    </w:p>
    <w:p w:rsidR="0005384D" w:rsidRDefault="0005384D" w:rsidP="000538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</w:t>
      </w:r>
      <w:r w:rsidRPr="00EB08AB">
        <w:rPr>
          <w:rFonts w:ascii="Times New Roman" w:hAnsi="Times New Roman" w:cs="Times New Roman"/>
          <w:sz w:val="28"/>
          <w:szCs w:val="28"/>
        </w:rPr>
        <w:t xml:space="preserve">арушений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B08AB">
        <w:rPr>
          <w:rFonts w:ascii="Times New Roman" w:hAnsi="Times New Roman" w:cs="Times New Roman"/>
          <w:sz w:val="28"/>
          <w:szCs w:val="28"/>
        </w:rPr>
        <w:t>принятии и реализации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B08AB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CF7D11" w:rsidRPr="0005384D" w:rsidRDefault="0005384D" w:rsidP="0005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84D">
        <w:rPr>
          <w:rFonts w:ascii="Times New Roman" w:hAnsi="Times New Roman" w:cs="Times New Roman"/>
          <w:sz w:val="28"/>
          <w:szCs w:val="28"/>
        </w:rPr>
        <w:t>П</w:t>
      </w:r>
      <w:r w:rsidR="00670674" w:rsidRPr="0005384D">
        <w:rPr>
          <w:rFonts w:ascii="Times New Roman" w:hAnsi="Times New Roman" w:cs="Times New Roman"/>
          <w:sz w:val="28"/>
          <w:szCs w:val="28"/>
        </w:rPr>
        <w:t>ри подготовке ответов на обращения</w:t>
      </w:r>
      <w:r w:rsidRPr="0005384D">
        <w:rPr>
          <w:rFonts w:ascii="Times New Roman" w:hAnsi="Times New Roman" w:cs="Times New Roman"/>
          <w:sz w:val="28"/>
          <w:szCs w:val="28"/>
        </w:rPr>
        <w:t xml:space="preserve"> </w:t>
      </w:r>
      <w:r w:rsidR="00670674" w:rsidRPr="0005384D">
        <w:rPr>
          <w:rFonts w:ascii="Times New Roman" w:hAnsi="Times New Roman" w:cs="Times New Roman"/>
          <w:sz w:val="28"/>
          <w:szCs w:val="28"/>
        </w:rPr>
        <w:t xml:space="preserve">граждан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Комитета </w:t>
      </w:r>
      <w:r w:rsidR="00670674" w:rsidRPr="0005384D">
        <w:rPr>
          <w:rFonts w:ascii="Times New Roman" w:hAnsi="Times New Roman" w:cs="Times New Roman"/>
          <w:sz w:val="28"/>
          <w:szCs w:val="28"/>
        </w:rPr>
        <w:t xml:space="preserve">соблюдались требования </w:t>
      </w:r>
      <w:r w:rsidRPr="0005384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02 мая </w:t>
      </w:r>
      <w:r w:rsidRPr="0005384D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5384D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Федерации». </w:t>
      </w:r>
      <w:r w:rsidR="00670674" w:rsidRPr="0005384D">
        <w:rPr>
          <w:rFonts w:ascii="Times New Roman" w:hAnsi="Times New Roman" w:cs="Times New Roman"/>
          <w:sz w:val="28"/>
          <w:szCs w:val="28"/>
        </w:rPr>
        <w:t>Нарушений норм антимонопольного законодательства при подготовке</w:t>
      </w:r>
      <w:r w:rsidRPr="0005384D">
        <w:rPr>
          <w:rFonts w:ascii="Times New Roman" w:hAnsi="Times New Roman" w:cs="Times New Roman"/>
          <w:sz w:val="28"/>
          <w:szCs w:val="28"/>
        </w:rPr>
        <w:t xml:space="preserve"> </w:t>
      </w:r>
      <w:r w:rsidR="00670674" w:rsidRPr="0005384D">
        <w:rPr>
          <w:rFonts w:ascii="Times New Roman" w:hAnsi="Times New Roman" w:cs="Times New Roman"/>
          <w:sz w:val="28"/>
          <w:szCs w:val="28"/>
        </w:rPr>
        <w:t>ответов на обращения в отчетном периоде не выявлено.</w:t>
      </w:r>
    </w:p>
    <w:p w:rsidR="0005384D" w:rsidRPr="00103DD9" w:rsidRDefault="0005384D" w:rsidP="0005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D9">
        <w:rPr>
          <w:rFonts w:ascii="Times New Roman" w:hAnsi="Times New Roman" w:cs="Times New Roman"/>
          <w:sz w:val="28"/>
          <w:szCs w:val="28"/>
        </w:rPr>
        <w:t xml:space="preserve">Также Комитетом принимаются меры к недопущению нарушений  антимонопольного законодательства при предоставлении субсидий, принятии решений о допуске претендентов к участию в конкурсном отборе.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DD9">
        <w:rPr>
          <w:rFonts w:ascii="Times New Roman" w:hAnsi="Times New Roman" w:cs="Times New Roman"/>
          <w:sz w:val="28"/>
          <w:szCs w:val="28"/>
        </w:rPr>
        <w:t>об условиях предоставления субсидии, конкурсного отбора в обязательном порядке размещаются на сайте Комитета в информационно-телекоммуникационной сети Интернет, в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объеме и в срок. </w:t>
      </w:r>
    </w:p>
    <w:p w:rsidR="0005384D" w:rsidRDefault="0005384D" w:rsidP="0005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D9">
        <w:rPr>
          <w:rFonts w:ascii="Times New Roman" w:hAnsi="Times New Roman" w:cs="Times New Roman"/>
          <w:sz w:val="28"/>
          <w:szCs w:val="28"/>
        </w:rPr>
        <w:t>По результатам отбора для заключения соглашения о предоставлении субсидии Комитетом используются типов</w:t>
      </w:r>
      <w:r w:rsidR="007A1357">
        <w:rPr>
          <w:rFonts w:ascii="Times New Roman" w:hAnsi="Times New Roman" w:cs="Times New Roman"/>
          <w:sz w:val="28"/>
          <w:szCs w:val="28"/>
        </w:rPr>
        <w:t>ая</w:t>
      </w:r>
      <w:r w:rsidRPr="00103DD9">
        <w:rPr>
          <w:rFonts w:ascii="Times New Roman" w:hAnsi="Times New Roman" w:cs="Times New Roman"/>
          <w:sz w:val="28"/>
          <w:szCs w:val="28"/>
        </w:rPr>
        <w:t xml:space="preserve"> </w:t>
      </w:r>
      <w:r w:rsidR="007A1357">
        <w:rPr>
          <w:rFonts w:ascii="Times New Roman" w:hAnsi="Times New Roman" w:cs="Times New Roman"/>
          <w:sz w:val="28"/>
          <w:szCs w:val="28"/>
        </w:rPr>
        <w:t>форма</w:t>
      </w:r>
      <w:r w:rsidRPr="00103DD9">
        <w:rPr>
          <w:rFonts w:ascii="Times New Roman" w:hAnsi="Times New Roman" w:cs="Times New Roman"/>
          <w:sz w:val="28"/>
          <w:szCs w:val="28"/>
        </w:rPr>
        <w:t xml:space="preserve"> такого соглашения, утвержденн</w:t>
      </w:r>
      <w:r w:rsidR="007A1357">
        <w:rPr>
          <w:rFonts w:ascii="Times New Roman" w:hAnsi="Times New Roman" w:cs="Times New Roman"/>
          <w:sz w:val="28"/>
          <w:szCs w:val="28"/>
        </w:rPr>
        <w:t>ая</w:t>
      </w:r>
      <w:r w:rsidRPr="00103DD9">
        <w:rPr>
          <w:rFonts w:ascii="Times New Roman" w:hAnsi="Times New Roman" w:cs="Times New Roman"/>
          <w:sz w:val="28"/>
          <w:szCs w:val="28"/>
        </w:rPr>
        <w:t xml:space="preserve"> Комитетом финансов Ленинградской области.  </w:t>
      </w:r>
    </w:p>
    <w:p w:rsidR="00CF7D11" w:rsidRPr="0005384D" w:rsidRDefault="0005384D" w:rsidP="0005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4D">
        <w:rPr>
          <w:rFonts w:ascii="Times New Roman" w:hAnsi="Times New Roman" w:cs="Times New Roman"/>
          <w:sz w:val="28"/>
          <w:szCs w:val="28"/>
        </w:rPr>
        <w:t xml:space="preserve">Комитетом на постоянной основе осуществляются мероприятия по снижению </w:t>
      </w:r>
      <w:proofErr w:type="spellStart"/>
      <w:r w:rsidRPr="0005384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5384D">
        <w:rPr>
          <w:rFonts w:ascii="Times New Roman" w:hAnsi="Times New Roman" w:cs="Times New Roman"/>
          <w:sz w:val="28"/>
          <w:szCs w:val="28"/>
        </w:rPr>
        <w:t xml:space="preserve">-рисков. В ходе проведения мероприятий, направленных на снижение рисков нарушения антимонопольного законодательства, фактов нарушения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384D">
        <w:rPr>
          <w:rFonts w:ascii="Times New Roman" w:hAnsi="Times New Roman" w:cs="Times New Roman"/>
          <w:sz w:val="28"/>
          <w:szCs w:val="28"/>
        </w:rPr>
        <w:t>омитетом антимонопольного законодательства не выявлено.</w:t>
      </w:r>
    </w:p>
    <w:p w:rsidR="007A1357" w:rsidRDefault="007A1357" w:rsidP="0005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4D" w:rsidRPr="0005384D" w:rsidRDefault="007A1357" w:rsidP="0005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384D" w:rsidRPr="0005384D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 w:rsidR="0005384D" w:rsidRPr="0005384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5384D" w:rsidRPr="0005384D">
        <w:rPr>
          <w:rFonts w:ascii="Times New Roman" w:hAnsi="Times New Roman" w:cs="Times New Roman"/>
          <w:sz w:val="28"/>
          <w:szCs w:val="28"/>
        </w:rPr>
        <w:t xml:space="preserve"> в Комитете являются:</w:t>
      </w:r>
    </w:p>
    <w:p w:rsidR="00DB003B" w:rsidRPr="00DB003B" w:rsidRDefault="00DB003B" w:rsidP="00D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 Комитетом;</w:t>
      </w:r>
    </w:p>
    <w:p w:rsidR="00DB003B" w:rsidRPr="00DB003B" w:rsidRDefault="00DB003B" w:rsidP="00D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законодательства;</w:t>
      </w:r>
    </w:p>
    <w:p w:rsidR="00DB003B" w:rsidRDefault="00DB003B" w:rsidP="00D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3B">
        <w:rPr>
          <w:rFonts w:ascii="Times New Roman" w:hAnsi="Times New Roman" w:cs="Times New Roman"/>
          <w:sz w:val="28"/>
          <w:szCs w:val="28"/>
        </w:rPr>
        <w:t>доля нормативных правовых актов Комитета, в которых выявлены риски нарушения антимонопольного законодательства.</w:t>
      </w:r>
    </w:p>
    <w:p w:rsidR="0005384D" w:rsidRPr="00035A34" w:rsidRDefault="0005384D" w:rsidP="00D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4D">
        <w:rPr>
          <w:rFonts w:ascii="Times New Roman" w:hAnsi="Times New Roman" w:cs="Times New Roman"/>
          <w:sz w:val="28"/>
          <w:szCs w:val="28"/>
        </w:rPr>
        <w:t>В связи с тем, что за 2021 год нарушени</w:t>
      </w:r>
      <w:r w:rsidR="00DB003B">
        <w:rPr>
          <w:rFonts w:ascii="Times New Roman" w:hAnsi="Times New Roman" w:cs="Times New Roman"/>
          <w:sz w:val="28"/>
          <w:szCs w:val="28"/>
        </w:rPr>
        <w:t>я</w:t>
      </w:r>
      <w:r w:rsidRPr="0005384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с</w:t>
      </w:r>
      <w:r w:rsidR="00DB003B">
        <w:rPr>
          <w:rFonts w:ascii="Times New Roman" w:hAnsi="Times New Roman" w:cs="Times New Roman"/>
          <w:sz w:val="28"/>
          <w:szCs w:val="28"/>
        </w:rPr>
        <w:t xml:space="preserve">о стороны Комитета не выявлены, </w:t>
      </w:r>
      <w:r w:rsidRPr="0005384D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05384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5384D"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CF7D11" w:rsidRDefault="00CF7D11" w:rsidP="00E83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671A" w:rsidRDefault="006F671A" w:rsidP="00292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71A" w:rsidSect="00FA76AA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AB4"/>
    <w:multiLevelType w:val="hybridMultilevel"/>
    <w:tmpl w:val="C02CDA02"/>
    <w:lvl w:ilvl="0" w:tplc="4BC087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0F31"/>
    <w:multiLevelType w:val="multilevel"/>
    <w:tmpl w:val="B2561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AB"/>
    <w:rsid w:val="00010242"/>
    <w:rsid w:val="0005384D"/>
    <w:rsid w:val="000A37E6"/>
    <w:rsid w:val="00103DD9"/>
    <w:rsid w:val="001B588B"/>
    <w:rsid w:val="00292530"/>
    <w:rsid w:val="00367E34"/>
    <w:rsid w:val="003875D5"/>
    <w:rsid w:val="00423999"/>
    <w:rsid w:val="0051474A"/>
    <w:rsid w:val="00670674"/>
    <w:rsid w:val="006F671A"/>
    <w:rsid w:val="00711927"/>
    <w:rsid w:val="007833BD"/>
    <w:rsid w:val="007A1357"/>
    <w:rsid w:val="00921F9D"/>
    <w:rsid w:val="00966190"/>
    <w:rsid w:val="00C92705"/>
    <w:rsid w:val="00CF7D11"/>
    <w:rsid w:val="00DB003B"/>
    <w:rsid w:val="00DB3B5F"/>
    <w:rsid w:val="00E839C0"/>
    <w:rsid w:val="00EB08AB"/>
    <w:rsid w:val="00EC587F"/>
    <w:rsid w:val="00F76AB1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AB"/>
    <w:pPr>
      <w:ind w:left="720"/>
      <w:contextualSpacing/>
    </w:pPr>
  </w:style>
  <w:style w:type="table" w:styleId="a4">
    <w:name w:val="Table Grid"/>
    <w:basedOn w:val="a1"/>
    <w:uiPriority w:val="59"/>
    <w:rsid w:val="0071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AB"/>
    <w:pPr>
      <w:ind w:left="720"/>
      <w:contextualSpacing/>
    </w:pPr>
  </w:style>
  <w:style w:type="table" w:styleId="a4">
    <w:name w:val="Table Grid"/>
    <w:basedOn w:val="a1"/>
    <w:uiPriority w:val="59"/>
    <w:rsid w:val="0071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4AAC-A94C-4E22-8991-FDC0DE94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Станиславовна Коева</dc:creator>
  <cp:lastModifiedBy>Анна Олеговна Мочалова</cp:lastModifiedBy>
  <cp:revision>6</cp:revision>
  <cp:lastPrinted>2022-03-23T13:58:00Z</cp:lastPrinted>
  <dcterms:created xsi:type="dcterms:W3CDTF">2021-05-14T11:48:00Z</dcterms:created>
  <dcterms:modified xsi:type="dcterms:W3CDTF">2022-03-23T14:06:00Z</dcterms:modified>
</cp:coreProperties>
</file>